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d100832" w14:textId="d100832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 января 2020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29 января 2020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264A7B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2177A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Томская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Томск г, Северск г (96,1 МГц, 1 кВт, пункт установки передатчика - г. Томск)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3 000 000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60 000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64A7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ab/>
                  </w:r>
                  <w:r w:rsidRPr="00264A7B">
                    <w:rPr>
                      <w:b/>
                      <w:sz w:val="28"/>
                      <w:szCs w:val="28"/>
                    </w:rPr>
                    <w:t>(</w:t>
                  </w:r>
                  <w:r w:rsidR="00264A7B">
                    <w:rPr>
                      <w:b/>
                      <w:sz w:val="28"/>
                      <w:szCs w:val="28"/>
                    </w:rPr>
                    <w:t>С</w:t>
                  </w:r>
                  <w:r w:rsidRPr="00264A7B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  <w:r w:rsidRPr="00264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77A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Томская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Томск г, Северск г (96,5 МГц, 1 кВт, пункт установки передатчика - г. Томск)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264A7B">
                    <w:rPr>
                      <w:sz w:val="28"/>
                      <w:szCs w:val="28"/>
                    </w:rPr>
                    <w:t>3 000 000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264A7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264A7B">
                    <w:rPr>
                      <w:sz w:val="28"/>
                      <w:szCs w:val="28"/>
                    </w:rPr>
                    <w:t>60 000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64A7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264A7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264A7B">
                    <w:rPr>
                      <w:b/>
                      <w:sz w:val="28"/>
                      <w:szCs w:val="28"/>
                    </w:rPr>
                    <w:t>С</w:t>
                  </w:r>
                  <w:r w:rsidRPr="00264A7B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  <w:r w:rsidRPr="00264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77A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Ярославская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Рыбинский </w:t>
                  </w:r>
                  <w:r w:rsidR="00264A7B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р-н, Рыбинск г (90,9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264A7B">
                    <w:rPr>
                      <w:sz w:val="28"/>
                      <w:szCs w:val="28"/>
                    </w:rPr>
                    <w:t>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264A7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264A7B">
                    <w:rPr>
                      <w:sz w:val="28"/>
                      <w:szCs w:val="28"/>
                    </w:rPr>
                    <w:t>15 000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64A7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264A7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264A7B">
                    <w:rPr>
                      <w:b/>
                      <w:sz w:val="28"/>
                      <w:szCs w:val="28"/>
                    </w:rPr>
                    <w:t>С</w:t>
                  </w:r>
                  <w:r w:rsidRPr="00264A7B">
                    <w:rPr>
                      <w:b/>
                      <w:sz w:val="28"/>
                      <w:szCs w:val="28"/>
                    </w:rPr>
                    <w:t xml:space="preserve">огласовано Минобороны </w:t>
                  </w:r>
                  <w:proofErr w:type="spellStart"/>
                  <w:r w:rsidRPr="00264A7B">
                    <w:rPr>
                      <w:b/>
                      <w:sz w:val="28"/>
                      <w:szCs w:val="28"/>
                    </w:rPr>
                    <w:t>Россиии</w:t>
                  </w:r>
                  <w:proofErr w:type="spellEnd"/>
                  <w:r w:rsidRPr="00264A7B">
                    <w:rPr>
                      <w:b/>
                      <w:sz w:val="28"/>
                      <w:szCs w:val="28"/>
                    </w:rPr>
                    <w:t xml:space="preserve"> до 10.04.2020).</w:t>
                  </w:r>
                  <w:r w:rsidRPr="00264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77A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Ярославская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Рыбинский </w:t>
                  </w:r>
                  <w:r w:rsidR="00264A7B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р-н, Рыбинск г (91,3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264A7B">
                    <w:rPr>
                      <w:sz w:val="28"/>
                      <w:szCs w:val="28"/>
                    </w:rPr>
                    <w:t>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264A7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264A7B">
                    <w:rPr>
                      <w:sz w:val="28"/>
                      <w:szCs w:val="28"/>
                    </w:rPr>
                    <w:t>15 000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64A7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264A7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264A7B">
                    <w:rPr>
                      <w:b/>
                      <w:sz w:val="28"/>
                      <w:szCs w:val="28"/>
                    </w:rPr>
                    <w:t>С</w:t>
                  </w:r>
                  <w:r w:rsidRPr="00264A7B">
                    <w:rPr>
                      <w:b/>
                      <w:sz w:val="28"/>
                      <w:szCs w:val="28"/>
                    </w:rPr>
                    <w:t>огласовано Минобороны России до 10.04.2020).</w:t>
                  </w:r>
                  <w:r w:rsidRPr="00264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77A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Пермский край, Березники г (93,5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264A7B">
                    <w:rPr>
                      <w:sz w:val="28"/>
                      <w:szCs w:val="28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264A7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264A7B">
                    <w:rPr>
                      <w:sz w:val="28"/>
                      <w:szCs w:val="28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64A7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264A7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264A7B">
                    <w:rPr>
                      <w:b/>
                      <w:sz w:val="28"/>
                      <w:szCs w:val="28"/>
                    </w:rPr>
                    <w:t>С</w:t>
                  </w:r>
                  <w:r w:rsidRPr="00264A7B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России. Согласовано Минобороны России до 10.04.2020).</w:t>
                  </w:r>
                  <w:r w:rsidRPr="00264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77A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Пермский край, Березники г (94,7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264A7B">
                    <w:rPr>
                      <w:sz w:val="28"/>
                      <w:szCs w:val="28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264A7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264A7B">
                    <w:rPr>
                      <w:sz w:val="28"/>
                      <w:szCs w:val="28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64A7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264A7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264A7B">
                    <w:rPr>
                      <w:b/>
                      <w:sz w:val="28"/>
                      <w:szCs w:val="28"/>
                    </w:rPr>
                    <w:t>С</w:t>
                  </w:r>
                  <w:r w:rsidRPr="00264A7B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России. Согласовано Минобороны России до 10.04.2020).</w:t>
                  </w:r>
                  <w:r w:rsidRPr="00264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77A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Ростовская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Волгодонск г (99,4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264A7B">
                    <w:rPr>
                      <w:sz w:val="28"/>
                      <w:szCs w:val="28"/>
                    </w:rPr>
                    <w:t>1 050 000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264A7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264A7B">
                    <w:rPr>
                      <w:sz w:val="28"/>
                      <w:szCs w:val="28"/>
                    </w:rPr>
                    <w:t>21 000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264A7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264A7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264A7B">
                    <w:rPr>
                      <w:b/>
                      <w:sz w:val="28"/>
                      <w:szCs w:val="28"/>
                    </w:rPr>
                    <w:t>С</w:t>
                  </w:r>
                  <w:bookmarkStart w:name="_GoBack" w:id="0"/>
                  <w:bookmarkEnd w:id="0"/>
                  <w:r w:rsidRPr="00264A7B">
                    <w:rPr>
                      <w:b/>
                      <w:sz w:val="28"/>
                      <w:szCs w:val="28"/>
                    </w:rPr>
                    <w:t>огласовано Минобороны России до 10.04.2020).</w:t>
                  </w:r>
                  <w:r w:rsidRPr="00264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77A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Ростовская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Волгодонск г (107,8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1 050 000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21 000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1-8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1-8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24 декабря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24 декабря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24 декабря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24 декабря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24 декабря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24 декабря 2019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1-8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Межрегиональное операционное УФК (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>)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Лицевой счет - 05951000960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ИНН 7705846236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КПП 770501001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r>
        <w:rPr>
          <w:sz w:val="28"/>
        </w:rPr>
        <w:t>Операционный департамент Банка России г. Москва 701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044501002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Расчётный счет 40302810900001001901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</w:t>
      </w:r>
      <w:r w:rsidRPr="001B035F">
        <w:rPr>
          <w:bCs/>
          <w:sz w:val="28"/>
          <w:szCs w:val="28"/>
        </w:rPr>
        <w:lastRenderedPageBreak/>
        <w:t xml:space="preserve">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</w:t>
      </w:r>
      <w:r w:rsidRPr="001B035F">
        <w:rPr>
          <w:bCs/>
          <w:sz w:val="28"/>
          <w:szCs w:val="28"/>
        </w:rPr>
        <w:lastRenderedPageBreak/>
        <w:t>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177AF"/>
    <w:rsid w:val="00226378"/>
    <w:rsid w:val="00232EA9"/>
    <w:rsid w:val="002414FF"/>
    <w:rsid w:val="00241A4A"/>
    <w:rsid w:val="00247D4C"/>
    <w:rsid w:val="00250FD0"/>
    <w:rsid w:val="0025732B"/>
    <w:rsid w:val="00264A7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2161</properties:Words>
  <properties:Characters>12321</properties:Characters>
  <properties:Lines>102</properties:Lines>
  <properties:Paragraphs>28</properties:Paragraphs>
  <properties:TotalTime>1476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14454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2019-11-29T11:52:00Z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