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29.06.2021 N 1046</w:t>
              <w:br/>
              <w:t xml:space="preserve">(ред. от 16.12.2021)</w:t>
              <w:br/>
              <w:t xml:space="preserve">"О федеральном государственном контроле (надзоре) за обработкой персональных данных"</w:t>
              <w:br/>
              <w:t xml:space="preserve">(вместе с "Положением о федеральном государственном контроле (надзоре) за обработкой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июня 2021 г. N 1046</w:t>
      </w:r>
    </w:p>
    <w:p>
      <w:pPr>
        <w:pStyle w:val="2"/>
        <w:jc w:val="center"/>
      </w:pPr>
      <w:r>
        <w:rPr>
          <w:sz w:val="20"/>
        </w:rPr>
      </w:r>
    </w:p>
    <w:p>
      <w:pPr>
        <w:pStyle w:val="2"/>
        <w:jc w:val="center"/>
      </w:pPr>
      <w:r>
        <w:rPr>
          <w:sz w:val="20"/>
        </w:rPr>
        <w:t xml:space="preserve">О ФЕДЕРАЛЬНОМ ГОСУДАРСТВЕННОМ КОНТРОЛЕ (НАДЗОРЕ)</w:t>
      </w:r>
    </w:p>
    <w:p>
      <w:pPr>
        <w:pStyle w:val="2"/>
        <w:jc w:val="center"/>
      </w:pPr>
      <w:r>
        <w:rPr>
          <w:sz w:val="20"/>
        </w:rPr>
        <w:t xml:space="preserve">ЗА ОБРАБОТКОЙ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16.12.2021 N 2311 &quot;О внесении изменений в Положение о федеральном государственном контроле (надзоре) за обработкой персональных данных&quot; {КонсультантПлюс}">
              <w:r>
                <w:rPr>
                  <w:sz w:val="20"/>
                  <w:color w:val="0000ff"/>
                </w:rPr>
                <w:t xml:space="preserve">Постановления</w:t>
              </w:r>
            </w:hyperlink>
            <w:r>
              <w:rPr>
                <w:sz w:val="20"/>
                <w:color w:val="392c69"/>
              </w:rPr>
              <w:t xml:space="preserve"> Правительства РФ от 16.12.2021 N 2311)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0" w:tooltip="ПОЛОЖЕНИЕ">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w:t>
      </w:r>
    </w:p>
    <w:p>
      <w:pPr>
        <w:pStyle w:val="0"/>
        <w:spacing w:before="200" w:line-rule="auto"/>
        <w:ind w:firstLine="540"/>
        <w:jc w:val="both"/>
      </w:pPr>
      <w:r>
        <w:rPr>
          <w:sz w:val="20"/>
        </w:rPr>
        <w:t xml:space="preserve">2. Установить, что реализация полномочий, предусмотренных настоящим постановлением, осуществляется Федеральной службой по надзору в сфере связи, информационных технологий и массовых коммуникаций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связи, информационных технологий и массовых коммуникаций, а также бюджетных ассигнований, предусмотренных Федеральной службой по надзору в сфере связи, информационных технологий и массовых коммуникаций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 силу </w:t>
      </w:r>
      <w:hyperlink w:history="0" r:id="rId8" w:tooltip="Постановление Правительства РФ от 13.02.2019 N 146 &quot;Об утверждении Правил организации и осуществления государственного контроля и надзора за обработкой персональных данных&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февраля 2019 г. N 146 "Об утверждении Правил организации и осуществления государственного контроля и надзора за обработкой персональных данных" (Собрание законодательства Российской Федерации, 2019, N 7, ст. 673).</w:t>
      </w:r>
    </w:p>
    <w:p>
      <w:pPr>
        <w:pStyle w:val="0"/>
        <w:spacing w:before="200" w:line-rule="auto"/>
        <w:ind w:firstLine="540"/>
        <w:jc w:val="both"/>
      </w:pPr>
      <w:r>
        <w:rPr>
          <w:sz w:val="20"/>
        </w:rPr>
        <w:t xml:space="preserve">4. Настоящее постановление вступает в силу с 1 июля 2021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июня 2021 г. N 1046</w:t>
      </w:r>
    </w:p>
    <w:p>
      <w:pPr>
        <w:pStyle w:val="0"/>
        <w:jc w:val="center"/>
      </w:pPr>
      <w:r>
        <w:rPr>
          <w:sz w:val="20"/>
        </w:rPr>
      </w:r>
    </w:p>
    <w:bookmarkStart w:id="30" w:name="P30"/>
    <w:bookmarkEnd w:id="30"/>
    <w:p>
      <w:pPr>
        <w:pStyle w:val="2"/>
        <w:jc w:val="center"/>
      </w:pPr>
      <w:r>
        <w:rPr>
          <w:sz w:val="20"/>
        </w:rPr>
        <w:t xml:space="preserve">ПОЛОЖЕНИЕ</w:t>
      </w:r>
    </w:p>
    <w:p>
      <w:pPr>
        <w:pStyle w:val="2"/>
        <w:jc w:val="center"/>
      </w:pPr>
      <w:r>
        <w:rPr>
          <w:sz w:val="20"/>
        </w:rPr>
        <w:t xml:space="preserve">О ФЕДЕРАЛЬНОМ ГОСУДАРСТВЕННОМ КОНТРОЛЕ (НАДЗОРЕ)</w:t>
      </w:r>
    </w:p>
    <w:p>
      <w:pPr>
        <w:pStyle w:val="2"/>
        <w:jc w:val="center"/>
      </w:pPr>
      <w:r>
        <w:rPr>
          <w:sz w:val="20"/>
        </w:rPr>
        <w:t xml:space="preserve">ЗА ОБРАБОТКОЙ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16.12.2021 N 2311 &quot;О внесении изменений в Положение о федеральном государственном контроле (надзоре) за обработкой персональных данных&quot; {КонсультантПлюс}">
              <w:r>
                <w:rPr>
                  <w:sz w:val="20"/>
                  <w:color w:val="0000ff"/>
                </w:rPr>
                <w:t xml:space="preserve">Постановления</w:t>
              </w:r>
            </w:hyperlink>
            <w:r>
              <w:rPr>
                <w:sz w:val="20"/>
                <w:color w:val="392c69"/>
              </w:rPr>
              <w:t xml:space="preserve"> Правительства РФ от 16.12.2021 N 2311)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Федеральным </w:t>
      </w:r>
      <w:hyperlink w:history="0" r:id="rId1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Под оператором понимается контролируемое лицо, самостоятельно или совместно с другими контролируемыми лицами организующее и (или) осуществляющее обработку персональных данных, в том числе на основании поручения,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2. Федеральный государственный контроль (надзор) за обработкой персональных данных осуществляется Федеральной службой по надзору в сфере связи, информационных технологий и массовых коммуникаций (далее - контролирующий орган) и его территориальными органами.</w:t>
      </w:r>
    </w:p>
    <w:p>
      <w:pPr>
        <w:pStyle w:val="0"/>
        <w:spacing w:before="200" w:line-rule="auto"/>
        <w:ind w:firstLine="540"/>
        <w:jc w:val="both"/>
      </w:pPr>
      <w:r>
        <w:rPr>
          <w:sz w:val="20"/>
        </w:rPr>
        <w:t xml:space="preserve">3. Должностными лицами, уполномоченными на осуществление федерального государственного контроля (надзора) за обработкой персональных данных, являются:</w:t>
      </w:r>
    </w:p>
    <w:p>
      <w:pPr>
        <w:pStyle w:val="0"/>
        <w:spacing w:before="200" w:line-rule="auto"/>
        <w:ind w:firstLine="540"/>
        <w:jc w:val="both"/>
      </w:pPr>
      <w:r>
        <w:rPr>
          <w:sz w:val="20"/>
        </w:rPr>
        <w:t xml:space="preserve">а) руководитель контролирующего органа;</w:t>
      </w:r>
    </w:p>
    <w:p>
      <w:pPr>
        <w:pStyle w:val="0"/>
        <w:spacing w:before="200" w:line-rule="auto"/>
        <w:ind w:firstLine="540"/>
        <w:jc w:val="both"/>
      </w:pPr>
      <w:r>
        <w:rPr>
          <w:sz w:val="20"/>
        </w:rPr>
        <w:t xml:space="preserve">б) заместитель руководителя контролирующего органа;</w:t>
      </w:r>
    </w:p>
    <w:p>
      <w:pPr>
        <w:pStyle w:val="0"/>
        <w:spacing w:before="200" w:line-rule="auto"/>
        <w:ind w:firstLine="540"/>
        <w:jc w:val="both"/>
      </w:pPr>
      <w:r>
        <w:rPr>
          <w:sz w:val="20"/>
        </w:rPr>
        <w:t xml:space="preserve">в) руководитель территориального органа контролирующего органа;</w:t>
      </w:r>
    </w:p>
    <w:p>
      <w:pPr>
        <w:pStyle w:val="0"/>
        <w:spacing w:before="200" w:line-rule="auto"/>
        <w:ind w:firstLine="540"/>
        <w:jc w:val="both"/>
      </w:pPr>
      <w:r>
        <w:rPr>
          <w:sz w:val="20"/>
        </w:rPr>
        <w:t xml:space="preserve">г) заместитель руководителя территориального органа контролирующего органа;</w:t>
      </w:r>
    </w:p>
    <w:p>
      <w:pPr>
        <w:pStyle w:val="0"/>
        <w:spacing w:before="200" w:line-rule="auto"/>
        <w:ind w:firstLine="540"/>
        <w:jc w:val="both"/>
      </w:pPr>
      <w:r>
        <w:rPr>
          <w:sz w:val="20"/>
        </w:rPr>
        <w:t xml:space="preserve">д) должностные лица контролирующего органа,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данного вида контроля (надзора), в том числе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е) должностные лица территориального органа контролирующего органа,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данного вида контроля (надзора), в том числе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4. Должностными лицами, уполномоченными на принятие решений о проведении контрольных (надзорных) мероприятий, являются:</w:t>
      </w:r>
    </w:p>
    <w:p>
      <w:pPr>
        <w:pStyle w:val="0"/>
        <w:spacing w:before="200" w:line-rule="auto"/>
        <w:ind w:firstLine="540"/>
        <w:jc w:val="both"/>
      </w:pPr>
      <w:r>
        <w:rPr>
          <w:sz w:val="20"/>
        </w:rPr>
        <w:t xml:space="preserve">а) руководитель контролирующего органа;</w:t>
      </w:r>
    </w:p>
    <w:p>
      <w:pPr>
        <w:pStyle w:val="0"/>
        <w:spacing w:before="200" w:line-rule="auto"/>
        <w:ind w:firstLine="540"/>
        <w:jc w:val="both"/>
      </w:pPr>
      <w:r>
        <w:rPr>
          <w:sz w:val="20"/>
        </w:rPr>
        <w:t xml:space="preserve">б) заместитель руководителя контролирующего органа;</w:t>
      </w:r>
    </w:p>
    <w:p>
      <w:pPr>
        <w:pStyle w:val="0"/>
        <w:spacing w:before="200" w:line-rule="auto"/>
        <w:ind w:firstLine="540"/>
        <w:jc w:val="both"/>
      </w:pPr>
      <w:r>
        <w:rPr>
          <w:sz w:val="20"/>
        </w:rPr>
        <w:t xml:space="preserve">в) руководитель территориального органа контролирующего органа;</w:t>
      </w:r>
    </w:p>
    <w:p>
      <w:pPr>
        <w:pStyle w:val="0"/>
        <w:spacing w:before="200" w:line-rule="auto"/>
        <w:ind w:firstLine="540"/>
        <w:jc w:val="both"/>
      </w:pPr>
      <w:r>
        <w:rPr>
          <w:sz w:val="20"/>
        </w:rPr>
        <w:t xml:space="preserve">г) заместитель руководителя территориального органа контролирующего органа.</w:t>
      </w:r>
    </w:p>
    <w:p>
      <w:pPr>
        <w:pStyle w:val="0"/>
        <w:spacing w:before="200" w:line-rule="auto"/>
        <w:ind w:firstLine="540"/>
        <w:jc w:val="both"/>
      </w:pPr>
      <w:r>
        <w:rPr>
          <w:sz w:val="20"/>
        </w:rPr>
        <w:t xml:space="preserve">5. Должностные лица, осуществляющие федеральный государственный контроль (надзор) за обработкой персональных данных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 К отношениям, связанным с осуществлением федерального государственного контроля (надзора) за обработкой персональных данных, применяются положения Федерального </w:t>
      </w:r>
      <w:hyperlink w:history="0" r:id="rId1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ind w:firstLine="540"/>
        <w:jc w:val="both"/>
      </w:pPr>
      <w:r>
        <w:rPr>
          <w:sz w:val="20"/>
        </w:rPr>
      </w:r>
    </w:p>
    <w:p>
      <w:pPr>
        <w:pStyle w:val="2"/>
        <w:outlineLvl w:val="2"/>
        <w:jc w:val="center"/>
      </w:pPr>
      <w:r>
        <w:rPr>
          <w:sz w:val="20"/>
        </w:rPr>
        <w:t xml:space="preserve">Объекты контроля</w:t>
      </w:r>
    </w:p>
    <w:p>
      <w:pPr>
        <w:pStyle w:val="0"/>
        <w:jc w:val="center"/>
      </w:pPr>
      <w:r>
        <w:rPr>
          <w:sz w:val="20"/>
        </w:rPr>
      </w:r>
    </w:p>
    <w:p>
      <w:pPr>
        <w:pStyle w:val="0"/>
        <w:ind w:firstLine="540"/>
        <w:jc w:val="both"/>
      </w:pPr>
      <w:r>
        <w:rPr>
          <w:sz w:val="20"/>
        </w:rPr>
        <w:t xml:space="preserve">7. Объектами контроля контролирующего органа (территориального органа) в рамках государственного контроля (надзора) за обработкой персональных данных являются:</w:t>
      </w:r>
    </w:p>
    <w:p>
      <w:pPr>
        <w:pStyle w:val="0"/>
        <w:spacing w:before="200" w:line-rule="auto"/>
        <w:ind w:firstLine="540"/>
        <w:jc w:val="both"/>
      </w:pPr>
      <w:r>
        <w:rPr>
          <w:sz w:val="20"/>
        </w:rPr>
        <w:t xml:space="preserve">а) деятельность и результаты деятельности операторов и третьих лиц, действующих по поручению оператора (далее - объекты контроля), по обработке персональных данных, осуществляемой с использованием и (или) без использования средств автоматизации;</w:t>
      </w:r>
    </w:p>
    <w:p>
      <w:pPr>
        <w:pStyle w:val="0"/>
        <w:spacing w:before="200" w:line-rule="auto"/>
        <w:ind w:firstLine="540"/>
        <w:jc w:val="both"/>
      </w:pPr>
      <w:r>
        <w:rPr>
          <w:sz w:val="20"/>
        </w:rPr>
        <w:t xml:space="preserve">б) результаты деятельности по разработке документов и локальных актов контролируемых лиц по обработке персональных данных, указанных в </w:t>
      </w:r>
      <w:hyperlink w:history="0" r:id="rId13" w:tooltip="Федеральный закон от 27.07.2006 N 152-ФЗ (ред. от 06.02.2023) &quot;О персональных данных&quot; {КонсультантПлюс}">
        <w:r>
          <w:rPr>
            <w:sz w:val="20"/>
            <w:color w:val="0000ff"/>
          </w:rPr>
          <w:t xml:space="preserve">части 1 статьи 18.1</w:t>
        </w:r>
      </w:hyperlink>
      <w:r>
        <w:rPr>
          <w:sz w:val="20"/>
        </w:rPr>
        <w:t xml:space="preserve"> Федерального закона "О персональных данных", и принятых оператором мер, указанных в </w:t>
      </w:r>
      <w:hyperlink w:history="0" r:id="rId14" w:tooltip="Федеральный закон от 27.07.2006 N 152-ФЗ (ред. от 06.02.2023) &quot;О персональных данных&quot; {КонсультантПлюс}">
        <w:r>
          <w:rPr>
            <w:sz w:val="20"/>
            <w:color w:val="0000ff"/>
          </w:rPr>
          <w:t xml:space="preserve">части 1 статьи 18.1</w:t>
        </w:r>
      </w:hyperlink>
      <w:r>
        <w:rPr>
          <w:sz w:val="20"/>
        </w:rPr>
        <w:t xml:space="preserve"> Федерального закона "О персональных данных".</w:t>
      </w:r>
    </w:p>
    <w:p>
      <w:pPr>
        <w:pStyle w:val="0"/>
        <w:spacing w:before="200" w:line-rule="auto"/>
        <w:ind w:firstLine="540"/>
        <w:jc w:val="both"/>
      </w:pPr>
      <w:r>
        <w:rPr>
          <w:sz w:val="20"/>
        </w:rPr>
        <w:t xml:space="preserve">8. Контролирующим органом (территориальным органом) учет объектов контроля обеспечивается посредством ведения единой информационной системы контролирующего органа (далее - информационная система), предусматривающей соответствующий функционал.</w:t>
      </w:r>
    </w:p>
    <w:p>
      <w:pPr>
        <w:pStyle w:val="0"/>
        <w:spacing w:before="200" w:line-rule="auto"/>
        <w:ind w:firstLine="540"/>
        <w:jc w:val="both"/>
      </w:pPr>
      <w:r>
        <w:rPr>
          <w:sz w:val="20"/>
        </w:rPr>
        <w:t xml:space="preserve">Учет объектов контроля осуществляется уполномоченными должностными лицами контролирующего органа (территориального органа) на основании вводимой в информационную систему информации:</w:t>
      </w:r>
    </w:p>
    <w:p>
      <w:pPr>
        <w:pStyle w:val="0"/>
        <w:spacing w:before="200" w:line-rule="auto"/>
        <w:ind w:firstLine="540"/>
        <w:jc w:val="both"/>
      </w:pPr>
      <w:r>
        <w:rPr>
          <w:sz w:val="20"/>
        </w:rPr>
        <w:t xml:space="preserve">содержащейся в уведомлении об обработке персональных данных объекта контроля, поступившем в контролирующий орган (территориальный орган) в соответствии со </w:t>
      </w:r>
      <w:hyperlink w:history="0" r:id="rId15" w:tooltip="Федеральный закон от 27.07.2006 N 152-ФЗ (ред. от 06.02.2023) &quot;О персональных данных&quot; {КонсультантПлюс}">
        <w:r>
          <w:rPr>
            <w:sz w:val="20"/>
            <w:color w:val="0000ff"/>
          </w:rPr>
          <w:t xml:space="preserve">статьей 22</w:t>
        </w:r>
      </w:hyperlink>
      <w:r>
        <w:rPr>
          <w:sz w:val="20"/>
        </w:rPr>
        <w:t xml:space="preserve"> Федерального закона "О персональных данных";</w:t>
      </w:r>
    </w:p>
    <w:p>
      <w:pPr>
        <w:pStyle w:val="0"/>
        <w:spacing w:before="200" w:line-rule="auto"/>
        <w:ind w:firstLine="540"/>
        <w:jc w:val="both"/>
      </w:pPr>
      <w:r>
        <w:rPr>
          <w:sz w:val="20"/>
        </w:rPr>
        <w:t xml:space="preserve">полученной в рамках межведомственного взаимодействия в порядке и сроки, которые установлены законодательством Российской Федерации;</w:t>
      </w:r>
    </w:p>
    <w:p>
      <w:pPr>
        <w:pStyle w:val="0"/>
        <w:spacing w:before="200" w:line-rule="auto"/>
        <w:ind w:firstLine="540"/>
        <w:jc w:val="both"/>
      </w:pPr>
      <w:r>
        <w:rPr>
          <w:sz w:val="20"/>
        </w:rPr>
        <w:t xml:space="preserve">о результатах контрольных мероприятий в отношении контролируемых лиц, размещаемой в информационной системе по окончании контрольных мероприятий в сроки, установленные законодательством Российской Федерации;</w:t>
      </w:r>
    </w:p>
    <w:p>
      <w:pPr>
        <w:pStyle w:val="0"/>
        <w:spacing w:before="200" w:line-rule="auto"/>
        <w:ind w:firstLine="540"/>
        <w:jc w:val="both"/>
      </w:pPr>
      <w:r>
        <w:rPr>
          <w:sz w:val="20"/>
        </w:rPr>
        <w:t xml:space="preserve">полученной из общедоступных источников информации.</w:t>
      </w:r>
    </w:p>
    <w:p>
      <w:pPr>
        <w:pStyle w:val="0"/>
        <w:spacing w:before="200" w:line-rule="auto"/>
        <w:ind w:firstLine="540"/>
        <w:jc w:val="both"/>
      </w:pPr>
      <w:r>
        <w:rPr>
          <w:sz w:val="20"/>
        </w:rPr>
        <w:t xml:space="preserve">Дополнение, изменение информации, на основании которой в информационной системе осуществляется учет объектов контроля, обеспечиваются уполномоченными должностными лицами контролирующего органа (территориального органа) при поступлении в контролирующий орган (территориальный орган) актуализированных сведений.</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9. При осуществлении федерального государственного контроля (надзора) за обработкой персональных данных применяется система оценки и управления рисками.</w:t>
      </w:r>
    </w:p>
    <w:p>
      <w:pPr>
        <w:pStyle w:val="0"/>
        <w:spacing w:before="200" w:line-rule="auto"/>
        <w:ind w:firstLine="540"/>
        <w:jc w:val="both"/>
      </w:pPr>
      <w:r>
        <w:rPr>
          <w:sz w:val="20"/>
        </w:rPr>
        <w:t xml:space="preserve">10. Контролирующий орган (территориальный орган) при осуществлении государственного контроля (надзора) относит поднадзорные объекты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а) высокий риск;</w:t>
      </w:r>
    </w:p>
    <w:p>
      <w:pPr>
        <w:pStyle w:val="0"/>
        <w:spacing w:before="200" w:line-rule="auto"/>
        <w:ind w:firstLine="540"/>
        <w:jc w:val="both"/>
      </w:pPr>
      <w:r>
        <w:rPr>
          <w:sz w:val="20"/>
        </w:rPr>
        <w:t xml:space="preserve">б) значительный риск;</w:t>
      </w:r>
    </w:p>
    <w:p>
      <w:pPr>
        <w:pStyle w:val="0"/>
        <w:spacing w:before="200" w:line-rule="auto"/>
        <w:ind w:firstLine="540"/>
        <w:jc w:val="both"/>
      </w:pPr>
      <w:r>
        <w:rPr>
          <w:sz w:val="20"/>
        </w:rPr>
        <w:t xml:space="preserve">в) средний риск;</w:t>
      </w:r>
    </w:p>
    <w:p>
      <w:pPr>
        <w:pStyle w:val="0"/>
        <w:spacing w:before="200" w:line-rule="auto"/>
        <w:ind w:firstLine="540"/>
        <w:jc w:val="both"/>
      </w:pPr>
      <w:r>
        <w:rPr>
          <w:sz w:val="20"/>
        </w:rPr>
        <w:t xml:space="preserve">г) умеренный риск;</w:t>
      </w:r>
    </w:p>
    <w:p>
      <w:pPr>
        <w:pStyle w:val="0"/>
        <w:spacing w:before="200" w:line-rule="auto"/>
        <w:ind w:firstLine="540"/>
        <w:jc w:val="both"/>
      </w:pPr>
      <w:r>
        <w:rPr>
          <w:sz w:val="20"/>
        </w:rPr>
        <w:t xml:space="preserve">д) низкий риск.</w:t>
      </w:r>
    </w:p>
    <w:p>
      <w:pPr>
        <w:pStyle w:val="0"/>
        <w:ind w:firstLine="540"/>
        <w:jc w:val="both"/>
      </w:pPr>
      <w:r>
        <w:rPr>
          <w:sz w:val="20"/>
        </w:rPr>
      </w:r>
    </w:p>
    <w:p>
      <w:pPr>
        <w:pStyle w:val="2"/>
        <w:outlineLvl w:val="2"/>
        <w:jc w:val="center"/>
      </w:pPr>
      <w:r>
        <w:rPr>
          <w:sz w:val="20"/>
        </w:rPr>
        <w:t xml:space="preserve">Критерии отнесения объектов государственного</w:t>
      </w:r>
    </w:p>
    <w:p>
      <w:pPr>
        <w:pStyle w:val="2"/>
        <w:jc w:val="center"/>
      </w:pPr>
      <w:r>
        <w:rPr>
          <w:sz w:val="20"/>
        </w:rPr>
        <w:t xml:space="preserve">контроля (надзора) к категориям риска</w:t>
      </w:r>
    </w:p>
    <w:p>
      <w:pPr>
        <w:pStyle w:val="0"/>
        <w:jc w:val="center"/>
      </w:pPr>
      <w:r>
        <w:rPr>
          <w:sz w:val="20"/>
        </w:rPr>
      </w:r>
    </w:p>
    <w:p>
      <w:pPr>
        <w:pStyle w:val="0"/>
        <w:ind w:firstLine="540"/>
        <w:jc w:val="both"/>
      </w:pPr>
      <w:r>
        <w:rPr>
          <w:sz w:val="20"/>
        </w:rPr>
        <w:t xml:space="preserve">11. 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 установленных согласно </w:t>
      </w:r>
      <w:hyperlink w:history="0" w:anchor="P313" w:tooltip="КРИТЕРИИ">
        <w:r>
          <w:rPr>
            <w:sz w:val="20"/>
            <w:color w:val="0000ff"/>
          </w:rPr>
          <w:t xml:space="preserve">приложению</w:t>
        </w:r>
      </w:hyperlink>
      <w:r>
        <w:rPr>
          <w:sz w:val="20"/>
        </w:rPr>
        <w:t xml:space="preserve">.</w:t>
      </w:r>
    </w:p>
    <w:p>
      <w:pPr>
        <w:pStyle w:val="0"/>
        <w:ind w:firstLine="540"/>
        <w:jc w:val="both"/>
      </w:pPr>
      <w:r>
        <w:rPr>
          <w:sz w:val="20"/>
        </w:rPr>
      </w:r>
    </w:p>
    <w:p>
      <w:pPr>
        <w:pStyle w:val="2"/>
        <w:outlineLvl w:val="2"/>
        <w:jc w:val="center"/>
      </w:pPr>
      <w:r>
        <w:rPr>
          <w:sz w:val="20"/>
        </w:rPr>
        <w:t xml:space="preserve">Учет рисков причинения вреда (ущерба)</w:t>
      </w:r>
    </w:p>
    <w:p>
      <w:pPr>
        <w:pStyle w:val="2"/>
        <w:jc w:val="center"/>
      </w:pPr>
      <w:r>
        <w:rPr>
          <w:sz w:val="20"/>
        </w:rPr>
        <w:t xml:space="preserve">охраняемым законом ценностям при проведении контрольных</w:t>
      </w:r>
    </w:p>
    <w:p>
      <w:pPr>
        <w:pStyle w:val="2"/>
        <w:jc w:val="center"/>
      </w:pPr>
      <w:r>
        <w:rPr>
          <w:sz w:val="20"/>
        </w:rPr>
        <w:t xml:space="preserve">(надзорных) мероприятий</w:t>
      </w:r>
    </w:p>
    <w:p>
      <w:pPr>
        <w:pStyle w:val="0"/>
        <w:jc w:val="center"/>
      </w:pPr>
      <w:r>
        <w:rPr>
          <w:sz w:val="20"/>
        </w:rPr>
      </w:r>
    </w:p>
    <w:p>
      <w:pPr>
        <w:pStyle w:val="0"/>
        <w:ind w:firstLine="540"/>
        <w:jc w:val="both"/>
      </w:pPr>
      <w:r>
        <w:rPr>
          <w:sz w:val="20"/>
        </w:rPr>
        <w:t xml:space="preserve">12. 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pPr>
        <w:pStyle w:val="0"/>
        <w:spacing w:before="200" w:line-rule="auto"/>
        <w:ind w:firstLine="540"/>
        <w:jc w:val="both"/>
      </w:pPr>
      <w:r>
        <w:rPr>
          <w:sz w:val="20"/>
        </w:rPr>
        <w:t xml:space="preserve">в отношении объектов контроля, отнесенных к категории высокого риска, - инспекционный визит или выездная проверка с периодичностью один раз в 2 года;</w:t>
      </w:r>
    </w:p>
    <w:p>
      <w:pPr>
        <w:pStyle w:val="0"/>
        <w:spacing w:before="200" w:line-rule="auto"/>
        <w:ind w:firstLine="540"/>
        <w:jc w:val="both"/>
      </w:pPr>
      <w:r>
        <w:rPr>
          <w:sz w:val="20"/>
        </w:rPr>
        <w:t xml:space="preserve">в отношении объектов контроля, отнесенных к категории значительного риска, - инспекционный визит или выездная проверка с периодичностью один раз в 3 года;</w:t>
      </w:r>
    </w:p>
    <w:p>
      <w:pPr>
        <w:pStyle w:val="0"/>
        <w:spacing w:before="200" w:line-rule="auto"/>
        <w:ind w:firstLine="540"/>
        <w:jc w:val="both"/>
      </w:pPr>
      <w:r>
        <w:rPr>
          <w:sz w:val="20"/>
        </w:rPr>
        <w:t xml:space="preserve">в отношении объектов контроля, отнесенных к категории среднего риска, - инспекционный визит или документарная проверка или выездная проверка с периодичностью один раз в 4 года;</w:t>
      </w:r>
    </w:p>
    <w:p>
      <w:pPr>
        <w:pStyle w:val="0"/>
        <w:spacing w:before="200" w:line-rule="auto"/>
        <w:ind w:firstLine="540"/>
        <w:jc w:val="both"/>
      </w:pPr>
      <w:r>
        <w:rPr>
          <w:sz w:val="20"/>
        </w:rPr>
        <w:t xml:space="preserve">в отношении объектов контроля, отнесенных к категории умеренного риска, - документарная проверка или выездная проверка с периодичностью один раз в 6 лет.</w:t>
      </w:r>
    </w:p>
    <w:p>
      <w:pPr>
        <w:pStyle w:val="0"/>
        <w:spacing w:before="200" w:line-rule="auto"/>
        <w:ind w:firstLine="540"/>
        <w:jc w:val="both"/>
      </w:pPr>
      <w:r>
        <w:rPr>
          <w:sz w:val="20"/>
        </w:rPr>
        <w:t xml:space="preserve">В отношении контролируемых лиц, деятельность которых в связи с обработкой персональных данных отнесена к категории низкого риска, плановые контрольные (надзорные) мероприятия не проводятся.</w:t>
      </w:r>
    </w:p>
    <w:p>
      <w:pPr>
        <w:pStyle w:val="0"/>
        <w:ind w:firstLine="54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ind w:firstLine="540"/>
        <w:jc w:val="both"/>
      </w:pPr>
      <w:r>
        <w:rPr>
          <w:sz w:val="20"/>
        </w:rPr>
      </w:r>
    </w:p>
    <w:p>
      <w:pPr>
        <w:pStyle w:val="0"/>
        <w:ind w:firstLine="540"/>
        <w:jc w:val="both"/>
      </w:pPr>
      <w:r>
        <w:rPr>
          <w:sz w:val="20"/>
        </w:rPr>
        <w:t xml:space="preserve">13. При осуществлении государственного контроля (надзора) за обработкой персональных данных могут проводиться следующие виды профилактических мероприятий:</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ind w:firstLine="540"/>
        <w:jc w:val="both"/>
      </w:pPr>
      <w:r>
        <w:rPr>
          <w:sz w:val="20"/>
        </w:rPr>
      </w:r>
    </w:p>
    <w:p>
      <w:pPr>
        <w:pStyle w:val="2"/>
        <w:outlineLvl w:val="2"/>
        <w:jc w:val="center"/>
      </w:pPr>
      <w:r>
        <w:rPr>
          <w:sz w:val="20"/>
        </w:rPr>
        <w:t xml:space="preserve">Информирование</w:t>
      </w:r>
    </w:p>
    <w:p>
      <w:pPr>
        <w:pStyle w:val="0"/>
        <w:jc w:val="center"/>
      </w:pPr>
      <w:r>
        <w:rPr>
          <w:sz w:val="20"/>
        </w:rPr>
      </w:r>
    </w:p>
    <w:p>
      <w:pPr>
        <w:pStyle w:val="0"/>
        <w:ind w:firstLine="540"/>
        <w:jc w:val="both"/>
      </w:pPr>
      <w:r>
        <w:rPr>
          <w:sz w:val="20"/>
        </w:rPr>
        <w:t xml:space="preserve">14.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контролирующего органа в информационно-телекоммуникационной сети "Интернет" (далее - есть "Интернет), в средствах массовой информации, в личных кабинетах контролируемых лиц в информационной системе.</w:t>
      </w:r>
    </w:p>
    <w:p>
      <w:pPr>
        <w:pStyle w:val="0"/>
        <w:spacing w:before="200" w:line-rule="auto"/>
        <w:ind w:firstLine="540"/>
        <w:jc w:val="both"/>
      </w:pPr>
      <w:r>
        <w:rPr>
          <w:sz w:val="20"/>
        </w:rPr>
        <w:t xml:space="preserve">15. Контролирующий орган размещает и поддерживает в актуальном состоянии на своем официальном сайте в сети "Интернет" сведения, предусмотренные </w:t>
      </w:r>
      <w:hyperlink w:history="0" r:id="rId1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46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2"/>
        <w:jc w:val="center"/>
      </w:pPr>
      <w:r>
        <w:rPr>
          <w:sz w:val="20"/>
        </w:rPr>
        <w:t xml:space="preserve">Обобщение правоприменительной практики</w:t>
      </w:r>
    </w:p>
    <w:p>
      <w:pPr>
        <w:pStyle w:val="0"/>
        <w:jc w:val="center"/>
      </w:pPr>
      <w:r>
        <w:rPr>
          <w:sz w:val="20"/>
        </w:rPr>
      </w:r>
    </w:p>
    <w:p>
      <w:pPr>
        <w:pStyle w:val="0"/>
        <w:ind w:firstLine="540"/>
        <w:jc w:val="both"/>
      </w:pPr>
      <w:r>
        <w:rPr>
          <w:sz w:val="20"/>
        </w:rPr>
        <w:t xml:space="preserve">16. Обобщение правоприменительной практики организации и проведения государственного надзора осуществляется один раз в год. По итогам обобщения правоприменительной практики готовится доклад о правоприменительной практике.</w:t>
      </w:r>
    </w:p>
    <w:p>
      <w:pPr>
        <w:pStyle w:val="0"/>
        <w:spacing w:before="200" w:line-rule="auto"/>
        <w:ind w:firstLine="540"/>
        <w:jc w:val="both"/>
      </w:pPr>
      <w:r>
        <w:rPr>
          <w:sz w:val="20"/>
        </w:rPr>
        <w:t xml:space="preserve">17. Доклад о правоприменительной практике утверждается приказом (распоряжением) руководителя контролирующего органа не позднее 31 марта года, следующего за отчетным, и размещается на официальном сайте в сети "Интернет" не позднее 3 рабочих дней со дня его утверждения.</w:t>
      </w:r>
    </w:p>
    <w:p>
      <w:pPr>
        <w:pStyle w:val="0"/>
        <w:ind w:firstLine="540"/>
        <w:jc w:val="both"/>
      </w:pPr>
      <w:r>
        <w:rPr>
          <w:sz w:val="20"/>
        </w:rPr>
      </w:r>
    </w:p>
    <w:p>
      <w:pPr>
        <w:pStyle w:val="2"/>
        <w:outlineLvl w:val="2"/>
        <w:jc w:val="center"/>
      </w:pPr>
      <w:r>
        <w:rPr>
          <w:sz w:val="20"/>
        </w:rPr>
        <w:t xml:space="preserve">Объявление предостережения</w:t>
      </w:r>
    </w:p>
    <w:p>
      <w:pPr>
        <w:pStyle w:val="0"/>
        <w:jc w:val="center"/>
      </w:pPr>
      <w:r>
        <w:rPr>
          <w:sz w:val="20"/>
        </w:rPr>
      </w:r>
    </w:p>
    <w:p>
      <w:pPr>
        <w:pStyle w:val="0"/>
        <w:ind w:firstLine="540"/>
        <w:jc w:val="both"/>
      </w:pPr>
      <w:r>
        <w:rPr>
          <w:sz w:val="20"/>
        </w:rPr>
        <w:t xml:space="preserve">18. В случае наличия у контролирующего органа и (или) его территориального органа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контролирующий орган (территориальный орган) в соответствии со </w:t>
      </w:r>
      <w:hyperlink w:history="0" r:id="rId1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49</w:t>
        </w:r>
      </w:hyperlink>
      <w:r>
        <w:rPr>
          <w:sz w:val="20"/>
        </w:rPr>
        <w:t xml:space="preserve"> Федерального закона "О государственном контроле (надзоре) и муниципальном контроле в Российской Федерации"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pPr>
        <w:pStyle w:val="0"/>
        <w:spacing w:before="200" w:line-rule="auto"/>
        <w:ind w:firstLine="540"/>
        <w:jc w:val="both"/>
      </w:pPr>
      <w:r>
        <w:rPr>
          <w:sz w:val="20"/>
        </w:rPr>
        <w:t xml:space="preserve">19. В предостережении о недопустимости нарушения обязательных требований в том числе указывается:</w:t>
      </w:r>
    </w:p>
    <w:p>
      <w:pPr>
        <w:pStyle w:val="0"/>
        <w:spacing w:before="200" w:line-rule="auto"/>
        <w:ind w:firstLine="540"/>
        <w:jc w:val="both"/>
      </w:pPr>
      <w:r>
        <w:rPr>
          <w:sz w:val="20"/>
        </w:rPr>
        <w:t xml:space="preserve">а) наименование юридического лица, адрес места нахождения или фамилия, имя, отчество (при наличии) индивидуального предпринимателя, адрес места жительства;</w:t>
      </w:r>
    </w:p>
    <w:p>
      <w:pPr>
        <w:pStyle w:val="0"/>
        <w:spacing w:before="200" w:line-rule="auto"/>
        <w:ind w:firstLine="540"/>
        <w:jc w:val="both"/>
      </w:pPr>
      <w:r>
        <w:rPr>
          <w:sz w:val="20"/>
        </w:rPr>
        <w:t xml:space="preserve">б) обязательные требования, предусматривающие их нормативный правовой акт, информация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pPr>
        <w:pStyle w:val="0"/>
        <w:spacing w:before="200" w:line-rule="auto"/>
        <w:ind w:firstLine="540"/>
        <w:jc w:val="both"/>
      </w:pPr>
      <w:r>
        <w:rPr>
          <w:sz w:val="20"/>
        </w:rPr>
        <w:t xml:space="preserve">20. Контролируемое лицо вправе в течение 10 рабочих дней со дня получения предостережения подать в контролирующий орган (территориальный орган) возражение в отношении указанного предостережения.</w:t>
      </w:r>
    </w:p>
    <w:p>
      <w:pPr>
        <w:pStyle w:val="0"/>
        <w:spacing w:before="200" w:line-rule="auto"/>
        <w:ind w:firstLine="540"/>
        <w:jc w:val="both"/>
      </w:pPr>
      <w:r>
        <w:rPr>
          <w:sz w:val="20"/>
        </w:rPr>
        <w:t xml:space="preserve">В возражении контролируемым лицом указываются:</w:t>
      </w:r>
    </w:p>
    <w:p>
      <w:pPr>
        <w:pStyle w:val="0"/>
        <w:spacing w:before="200" w:line-rule="auto"/>
        <w:ind w:firstLine="540"/>
        <w:jc w:val="both"/>
      </w:pPr>
      <w:r>
        <w:rPr>
          <w:sz w:val="20"/>
        </w:rPr>
        <w:t xml:space="preserve">наименование юридического лица, фамилия, имя, отчество (при наличии) индивидуального предпринимателя;</w:t>
      </w:r>
    </w:p>
    <w:p>
      <w:pPr>
        <w:pStyle w:val="0"/>
        <w:spacing w:before="200" w:line-rule="auto"/>
        <w:ind w:firstLine="540"/>
        <w:jc w:val="both"/>
      </w:pPr>
      <w:r>
        <w:rPr>
          <w:sz w:val="20"/>
        </w:rPr>
        <w:t xml:space="preserve">дата и номер предостережения, направленного в адрес контролируемого лица;</w:t>
      </w:r>
    </w:p>
    <w:p>
      <w:pPr>
        <w:pStyle w:val="0"/>
        <w:spacing w:before="200" w:line-rule="auto"/>
        <w:ind w:firstLine="540"/>
        <w:jc w:val="both"/>
      </w:pPr>
      <w:r>
        <w:rPr>
          <w:sz w:val="20"/>
        </w:rPr>
        <w:t xml:space="preserve">идентификационный номер налогоплательщика - юридического лица, индивидуального предпринимателя;</w:t>
      </w:r>
    </w:p>
    <w:p>
      <w:pPr>
        <w:pStyle w:val="0"/>
        <w:spacing w:before="200" w:line-rule="auto"/>
        <w:ind w:firstLine="540"/>
        <w:jc w:val="both"/>
      </w:pPr>
      <w:r>
        <w:rPr>
          <w:sz w:val="20"/>
        </w:rPr>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иные документы, подтверждающие обоснованность таких возражений, или их заверенные копии (при наличии).</w:t>
      </w:r>
    </w:p>
    <w:p>
      <w:pPr>
        <w:pStyle w:val="0"/>
        <w:spacing w:before="200" w:line-rule="auto"/>
        <w:ind w:firstLine="540"/>
        <w:jc w:val="both"/>
      </w:pPr>
      <w:r>
        <w:rPr>
          <w:sz w:val="20"/>
        </w:rPr>
        <w:t xml:space="preserve">21. Возражения направляются контролируемым лицом в бумажном виде почтовым отправлением в контролирующий орган (территориальный орган), либо в виде электронного документа, оформляемого в соответствии со </w:t>
      </w:r>
      <w:hyperlink w:history="0" r:id="rId1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контролирующего (территориального органа), либо иными указанными в предостережении способами.</w:t>
      </w:r>
    </w:p>
    <w:bookmarkStart w:id="132" w:name="P132"/>
    <w:bookmarkEnd w:id="132"/>
    <w:p>
      <w:pPr>
        <w:pStyle w:val="0"/>
        <w:spacing w:before="200" w:line-rule="auto"/>
        <w:ind w:firstLine="540"/>
        <w:jc w:val="both"/>
      </w:pPr>
      <w:r>
        <w:rPr>
          <w:sz w:val="20"/>
        </w:rPr>
        <w:t xml:space="preserve">22. Возражение рассматривается в течение 20 рабочих дней со дня регистрации возражения.</w:t>
      </w:r>
    </w:p>
    <w:p>
      <w:pPr>
        <w:pStyle w:val="0"/>
        <w:spacing w:before="200" w:line-rule="auto"/>
        <w:ind w:firstLine="540"/>
        <w:jc w:val="both"/>
      </w:pPr>
      <w:r>
        <w:rPr>
          <w:sz w:val="20"/>
        </w:rPr>
        <w:t xml:space="preserve">23. По результатам рассмотрения возражения принимается одно из следующих решений:</w:t>
      </w:r>
    </w:p>
    <w:p>
      <w:pPr>
        <w:pStyle w:val="0"/>
        <w:spacing w:before="200" w:line-rule="auto"/>
        <w:ind w:firstLine="540"/>
        <w:jc w:val="both"/>
      </w:pPr>
      <w:r>
        <w:rPr>
          <w:sz w:val="20"/>
        </w:rPr>
        <w:t xml:space="preserve">а) удовлетворить возражение в форме отмены объявленного предостережения;</w:t>
      </w:r>
    </w:p>
    <w:p>
      <w:pPr>
        <w:pStyle w:val="0"/>
        <w:spacing w:before="200" w:line-rule="auto"/>
        <w:ind w:firstLine="540"/>
        <w:jc w:val="both"/>
      </w:pPr>
      <w:r>
        <w:rPr>
          <w:sz w:val="20"/>
        </w:rPr>
        <w:t xml:space="preserve">б) отказать в удовлетворении возражения.</w:t>
      </w:r>
    </w:p>
    <w:p>
      <w:pPr>
        <w:pStyle w:val="0"/>
        <w:spacing w:before="200" w:line-rule="auto"/>
        <w:ind w:firstLine="540"/>
        <w:jc w:val="both"/>
      </w:pPr>
      <w:r>
        <w:rPr>
          <w:sz w:val="20"/>
        </w:rPr>
        <w:t xml:space="preserve">24. Не позднее дня, следующего за днем принятия решения, указанного в </w:t>
      </w:r>
      <w:hyperlink w:history="0" w:anchor="P132" w:tooltip="22. Возражение рассматривается в течение 20 рабочих дней со дня регистрации возражения.">
        <w:r>
          <w:rPr>
            <w:sz w:val="20"/>
            <w:color w:val="0000ff"/>
          </w:rPr>
          <w:t xml:space="preserve">пункте 22</w:t>
        </w:r>
      </w:hyperlink>
      <w:r>
        <w:rPr>
          <w:sz w:val="20"/>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0"/>
        <w:spacing w:before="200" w:line-rule="auto"/>
        <w:ind w:firstLine="540"/>
        <w:jc w:val="both"/>
      </w:pPr>
      <w:r>
        <w:rPr>
          <w:sz w:val="20"/>
        </w:rPr>
        <w:t xml:space="preserve">25. Повторное направление возражения по тем же основаниям не допускается. Поступившее в контролирующий орган (территориальный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способом.</w:t>
      </w:r>
    </w:p>
    <w:p>
      <w:pPr>
        <w:pStyle w:val="0"/>
        <w:ind w:firstLine="540"/>
        <w:jc w:val="both"/>
      </w:pPr>
      <w:r>
        <w:rPr>
          <w:sz w:val="20"/>
        </w:rPr>
      </w:r>
    </w:p>
    <w:p>
      <w:pPr>
        <w:pStyle w:val="2"/>
        <w:outlineLvl w:val="2"/>
        <w:jc w:val="center"/>
      </w:pPr>
      <w:r>
        <w:rPr>
          <w:sz w:val="20"/>
        </w:rPr>
        <w:t xml:space="preserve">Консультирование</w:t>
      </w:r>
    </w:p>
    <w:p>
      <w:pPr>
        <w:pStyle w:val="0"/>
        <w:jc w:val="center"/>
      </w:pPr>
      <w:r>
        <w:rPr>
          <w:sz w:val="20"/>
        </w:rPr>
      </w:r>
    </w:p>
    <w:p>
      <w:pPr>
        <w:pStyle w:val="0"/>
        <w:ind w:firstLine="540"/>
        <w:jc w:val="both"/>
      </w:pPr>
      <w:r>
        <w:rPr>
          <w:sz w:val="20"/>
        </w:rPr>
        <w:t xml:space="preserve">26. Консультирование может осуществляться должностным лицом контролирующего органа (территориального органа) по обращениям контролируемых лиц и их представителей по телефону, посредством видео-конференц-связи, на личном приеме.</w:t>
      </w:r>
    </w:p>
    <w:p>
      <w:pPr>
        <w:pStyle w:val="0"/>
        <w:spacing w:before="200" w:line-rule="auto"/>
        <w:ind w:firstLine="540"/>
        <w:jc w:val="both"/>
      </w:pPr>
      <w:r>
        <w:rPr>
          <w:sz w:val="20"/>
        </w:rPr>
        <w:t xml:space="preserve">27. Должностные лица контролирующего органа (территориального органа) предоставляют консультирование по следующим вопросам:</w:t>
      </w:r>
    </w:p>
    <w:bookmarkStart w:id="143" w:name="P143"/>
    <w:bookmarkEnd w:id="143"/>
    <w:p>
      <w:pPr>
        <w:pStyle w:val="0"/>
        <w:spacing w:before="200" w:line-rule="auto"/>
        <w:ind w:firstLine="540"/>
        <w:jc w:val="both"/>
      </w:pPr>
      <w:r>
        <w:rPr>
          <w:sz w:val="20"/>
        </w:rPr>
        <w:t xml:space="preserve">а) наличие и (или) содержание обязательных требований в сфере обработки персональных данных;</w:t>
      </w:r>
    </w:p>
    <w:p>
      <w:pPr>
        <w:pStyle w:val="0"/>
        <w:spacing w:before="200" w:line-rule="auto"/>
        <w:ind w:firstLine="540"/>
        <w:jc w:val="both"/>
      </w:pPr>
      <w:r>
        <w:rPr>
          <w:sz w:val="20"/>
        </w:rPr>
        <w:t xml:space="preserve">б) периодичность и порядок проведения контрольных (надзорных) мероприятий;</w:t>
      </w:r>
    </w:p>
    <w:bookmarkStart w:id="145" w:name="P145"/>
    <w:bookmarkEnd w:id="145"/>
    <w:p>
      <w:pPr>
        <w:pStyle w:val="0"/>
        <w:spacing w:before="200" w:line-rule="auto"/>
        <w:ind w:firstLine="540"/>
        <w:jc w:val="both"/>
      </w:pPr>
      <w:r>
        <w:rPr>
          <w:sz w:val="20"/>
        </w:rPr>
        <w:t xml:space="preserve">в) порядок выполнения обязательных требований в сфере обработки персональных данных;</w:t>
      </w:r>
    </w:p>
    <w:bookmarkStart w:id="146" w:name="P146"/>
    <w:bookmarkEnd w:id="146"/>
    <w:p>
      <w:pPr>
        <w:pStyle w:val="0"/>
        <w:spacing w:before="200" w:line-rule="auto"/>
        <w:ind w:firstLine="540"/>
        <w:jc w:val="both"/>
      </w:pPr>
      <w:r>
        <w:rPr>
          <w:sz w:val="20"/>
        </w:rPr>
        <w:t xml:space="preserve">г) выполнение предписания, выданного по итогам контрольного мероприятия.</w:t>
      </w:r>
    </w:p>
    <w:p>
      <w:pPr>
        <w:pStyle w:val="0"/>
        <w:spacing w:before="200" w:line-rule="auto"/>
        <w:ind w:firstLine="540"/>
        <w:jc w:val="both"/>
      </w:pPr>
      <w:r>
        <w:rPr>
          <w:sz w:val="20"/>
        </w:rPr>
        <w:t xml:space="preserve">28. Должностные лица контролирующего органа (территориального органа) предоставляют письменное консультирование по вопросу, предусмотренному </w:t>
      </w:r>
      <w:hyperlink w:history="0" w:anchor="P146" w:tooltip="г) выполнение предписания, выданного по итогам контрольного мероприятия.">
        <w:r>
          <w:rPr>
            <w:sz w:val="20"/>
            <w:color w:val="0000ff"/>
          </w:rPr>
          <w:t xml:space="preserve">подпунктом "г" пункта 27</w:t>
        </w:r>
      </w:hyperlink>
      <w:r>
        <w:rPr>
          <w:sz w:val="20"/>
        </w:rPr>
        <w:t xml:space="preserve"> настоящего Положения.</w:t>
      </w:r>
    </w:p>
    <w:p>
      <w:pPr>
        <w:pStyle w:val="0"/>
        <w:spacing w:before="200" w:line-rule="auto"/>
        <w:ind w:firstLine="540"/>
        <w:jc w:val="both"/>
      </w:pPr>
      <w:r>
        <w:rPr>
          <w:sz w:val="20"/>
        </w:rPr>
        <w:t xml:space="preserve">29. Консультирование по вопросам, предусмотренным </w:t>
      </w:r>
      <w:hyperlink w:history="0" w:anchor="P143" w:tooltip="а) наличие и (или) содержание обязательных требований в сфере обработки персональных данных;">
        <w:r>
          <w:rPr>
            <w:sz w:val="20"/>
            <w:color w:val="0000ff"/>
          </w:rPr>
          <w:t xml:space="preserve">подпунктами "а"</w:t>
        </w:r>
      </w:hyperlink>
      <w:r>
        <w:rPr>
          <w:sz w:val="20"/>
        </w:rPr>
        <w:t xml:space="preserve"> - </w:t>
      </w:r>
      <w:hyperlink w:history="0" w:anchor="P145" w:tooltip="в) порядок выполнения обязательных требований в сфере обработки персональных данных;">
        <w:r>
          <w:rPr>
            <w:sz w:val="20"/>
            <w:color w:val="0000ff"/>
          </w:rPr>
          <w:t xml:space="preserve">"в" пункта 27</w:t>
        </w:r>
      </w:hyperlink>
      <w:r>
        <w:rPr>
          <w:sz w:val="20"/>
        </w:rPr>
        <w:t xml:space="preserve"> настоящего Положения, при поступлении в контролирующий орган 50 и более однотипных обращений, направленных от различных контролируемых лиц и их представителей производится посредством размещения на официальном сайте контролирующего органа в сети "Интернет" письменного разъяснения, подписанного уполномоченным должностным лицом контролирующего органа.</w:t>
      </w:r>
    </w:p>
    <w:p>
      <w:pPr>
        <w:pStyle w:val="0"/>
        <w:ind w:firstLine="540"/>
        <w:jc w:val="both"/>
      </w:pPr>
      <w:r>
        <w:rPr>
          <w:sz w:val="20"/>
        </w:rPr>
      </w:r>
    </w:p>
    <w:p>
      <w:pPr>
        <w:pStyle w:val="2"/>
        <w:outlineLvl w:val="2"/>
        <w:jc w:val="center"/>
      </w:pPr>
      <w:r>
        <w:rPr>
          <w:sz w:val="20"/>
        </w:rPr>
        <w:t xml:space="preserve">Профилактический визит</w:t>
      </w:r>
    </w:p>
    <w:p>
      <w:pPr>
        <w:pStyle w:val="0"/>
        <w:jc w:val="center"/>
      </w:pPr>
      <w:r>
        <w:rPr>
          <w:sz w:val="20"/>
        </w:rPr>
      </w:r>
    </w:p>
    <w:p>
      <w:pPr>
        <w:pStyle w:val="0"/>
        <w:ind w:firstLine="540"/>
        <w:jc w:val="both"/>
      </w:pPr>
      <w:r>
        <w:rPr>
          <w:sz w:val="20"/>
        </w:rPr>
        <w:t xml:space="preserve">30. Обязательные профилактические визиты проводятся контролирующим (территориальным органом) в соответствии со </w:t>
      </w:r>
      <w:hyperlink w:history="0" r:id="rId1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52</w:t>
        </w:r>
      </w:hyperlink>
      <w:r>
        <w:rPr>
          <w:sz w:val="20"/>
        </w:rPr>
        <w:t xml:space="preserve"> Федерального закона "О государственном контроле (надзоре) и муниципальном контроле в Российской Федерации"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в сфере обработки персональных данных.</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0"/>
        <w:spacing w:before="200" w:line-rule="auto"/>
        <w:ind w:firstLine="540"/>
        <w:jc w:val="both"/>
      </w:pPr>
      <w:r>
        <w:rPr>
          <w:sz w:val="20"/>
        </w:rPr>
        <w:t xml:space="preserve">Срок проведения обязательного профилактического визита не может превышать 5 рабочих дней.</w:t>
      </w:r>
    </w:p>
    <w:p>
      <w:pPr>
        <w:pStyle w:val="0"/>
        <w:spacing w:before="200" w:line-rule="auto"/>
        <w:ind w:firstLine="540"/>
        <w:jc w:val="both"/>
      </w:pPr>
      <w:r>
        <w:rPr>
          <w:sz w:val="20"/>
        </w:rPr>
        <w:t xml:space="preserve">Обязательный профилактический визит при его проведении по месту осуществления деятельности контролируемого лица начинается с предъявления должностными лицами контролирующего органа (территориального органа)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pPr>
        <w:pStyle w:val="0"/>
        <w:spacing w:before="200" w:line-rule="auto"/>
        <w:ind w:firstLine="540"/>
        <w:jc w:val="both"/>
      </w:pPr>
      <w:r>
        <w:rPr>
          <w:sz w:val="20"/>
        </w:rPr>
        <w:t xml:space="preserve">В случае проведения обязательного профилактического визита в режиме видео-конференц-связи должностное лицо контролирующего органа (территориального органа) осуществляет указанные в настоящем пункте действия посредством использования электронных каналов связи.</w:t>
      </w:r>
    </w:p>
    <w:p>
      <w:pPr>
        <w:pStyle w:val="0"/>
        <w:spacing w:before="200" w:line-rule="auto"/>
        <w:ind w:firstLine="540"/>
        <w:jc w:val="both"/>
      </w:pPr>
      <w:r>
        <w:rPr>
          <w:sz w:val="20"/>
        </w:rPr>
        <w:t xml:space="preserve">31. Контролируемое лицо в соответствии с </w:t>
      </w:r>
      <w:hyperlink w:history="0" r:id="rId2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6 статьи 52</w:t>
        </w:r>
      </w:hyperlink>
      <w:r>
        <w:rPr>
          <w:sz w:val="20"/>
        </w:rPr>
        <w:t xml:space="preserve"> Федерального закона "О государственном контроле (надзоре) и муниципальном контроле в Российской Федерации" имеет право отказаться от проведения обязательного профилактического визита, при этом оно должно уведомить об отказе контролирующего органа (территориальный орган) не позднее чем за 3 рабочих дня до даты его проведения.</w:t>
      </w:r>
    </w:p>
    <w:p>
      <w:pPr>
        <w:pStyle w:val="0"/>
        <w:spacing w:before="200" w:line-rule="auto"/>
        <w:ind w:firstLine="540"/>
        <w:jc w:val="both"/>
      </w:pPr>
      <w:r>
        <w:rPr>
          <w:sz w:val="20"/>
        </w:rPr>
        <w:t xml:space="preserve">32. Контролирующий орган (территориальный орган) обязан предложить проведение обязательного профилактического визита контролируемому лицу, приступающему к обработке персональных данных, не позднее чем в течение одного года с момента начала такой деятельности.</w:t>
      </w:r>
    </w:p>
    <w:p>
      <w:pPr>
        <w:pStyle w:val="0"/>
        <w:spacing w:before="200" w:line-rule="auto"/>
        <w:ind w:firstLine="540"/>
        <w:jc w:val="both"/>
      </w:pPr>
      <w:r>
        <w:rPr>
          <w:sz w:val="20"/>
        </w:rPr>
        <w:t xml:space="preserve">33. Срок проведения профилактического визита не может превышать 5 рабочих дней.</w:t>
      </w:r>
    </w:p>
    <w:p>
      <w:pPr>
        <w:pStyle w:val="0"/>
        <w:spacing w:before="200" w:line-rule="auto"/>
        <w:ind w:firstLine="540"/>
        <w:jc w:val="both"/>
      </w:pPr>
      <w:r>
        <w:rPr>
          <w:sz w:val="20"/>
        </w:rPr>
        <w:t xml:space="preserve">34. По итогам проведения обязательного профилактического визита составляются разъяснения рекомендательного характера по организации контролируемым лицом деятельности по обработке персональных данных.</w:t>
      </w:r>
    </w:p>
    <w:p>
      <w:pPr>
        <w:pStyle w:val="0"/>
        <w:spacing w:before="200" w:line-rule="auto"/>
        <w:ind w:firstLine="540"/>
        <w:jc w:val="both"/>
      </w:pPr>
      <w:r>
        <w:rPr>
          <w:sz w:val="20"/>
        </w:rPr>
        <w:t xml:space="preserve">35. 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незамедлительно направляет информацию об этом уполномоченному должностному лицу контролирующего органа (территориального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36. Контролирующий орган (территориальный орган) осуществляет учет профилактических визитов.</w:t>
      </w:r>
    </w:p>
    <w:p>
      <w:pPr>
        <w:pStyle w:val="0"/>
        <w:ind w:firstLine="540"/>
        <w:jc w:val="both"/>
      </w:pPr>
      <w:r>
        <w:rPr>
          <w:sz w:val="20"/>
        </w:rPr>
      </w:r>
    </w:p>
    <w:p>
      <w:pPr>
        <w:pStyle w:val="2"/>
        <w:outlineLvl w:val="1"/>
        <w:jc w:val="center"/>
      </w:pPr>
      <w:r>
        <w:rPr>
          <w:sz w:val="20"/>
        </w:rPr>
        <w:t xml:space="preserve">IV. Осуществление федерального государственного</w:t>
      </w:r>
    </w:p>
    <w:p>
      <w:pPr>
        <w:pStyle w:val="2"/>
        <w:jc w:val="center"/>
      </w:pPr>
      <w:r>
        <w:rPr>
          <w:sz w:val="20"/>
        </w:rPr>
        <w:t xml:space="preserve">контроля (надзора)</w:t>
      </w:r>
    </w:p>
    <w:p>
      <w:pPr>
        <w:pStyle w:val="0"/>
        <w:ind w:firstLine="540"/>
        <w:jc w:val="both"/>
      </w:pPr>
      <w:r>
        <w:rPr>
          <w:sz w:val="20"/>
        </w:rPr>
      </w:r>
    </w:p>
    <w:p>
      <w:pPr>
        <w:pStyle w:val="0"/>
        <w:ind w:firstLine="540"/>
        <w:jc w:val="both"/>
      </w:pPr>
      <w:r>
        <w:rPr>
          <w:sz w:val="20"/>
        </w:rPr>
        <w:t xml:space="preserve">37. Федеральный государственный контроль (надзор) за обработкой персональных данных осуществляется посредством проведения плановых и внеплановых контрольных (надзорных) мероприятий.</w:t>
      </w:r>
    </w:p>
    <w:p>
      <w:pPr>
        <w:pStyle w:val="0"/>
        <w:spacing w:before="200" w:line-rule="auto"/>
        <w:ind w:firstLine="540"/>
        <w:jc w:val="both"/>
      </w:pPr>
      <w:r>
        <w:rPr>
          <w:sz w:val="20"/>
        </w:rPr>
        <w:t xml:space="preserve">38. Плановые контрольные (надзорные) мероприятия, за исключением плановых контрольных (надзорных) мероприятий без взаимодействия,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pPr>
        <w:pStyle w:val="0"/>
        <w:spacing w:before="200" w:line-rule="auto"/>
        <w:ind w:firstLine="540"/>
        <w:jc w:val="both"/>
      </w:pPr>
      <w:r>
        <w:rPr>
          <w:sz w:val="20"/>
        </w:rPr>
        <w:t xml:space="preserve">39. Организация проведения внеплановых контрольных (надзорных) мероприятий, осуществляется в соответствии с положениями </w:t>
      </w:r>
      <w:hyperlink w:history="0" r:id="rId2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статьи 66</w:t>
        </w:r>
      </w:hyperlink>
      <w:r>
        <w:rPr>
          <w:sz w:val="20"/>
        </w:rPr>
        <w:t xml:space="preserve"> Федерального закона "О государственном контроле (надзоре) и муниципальном контроле в Российской Федерации".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r:id="rId2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6 части 1</w:t>
        </w:r>
      </w:hyperlink>
      <w:r>
        <w:rPr>
          <w:sz w:val="20"/>
        </w:rPr>
        <w:t xml:space="preserve"> и </w:t>
      </w:r>
      <w:hyperlink w:history="0" r:id="rId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57</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40. В случае временной нетрудоспособности, нахождения в служебной командировке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w:t>
      </w:r>
    </w:p>
    <w:p>
      <w:pPr>
        <w:pStyle w:val="0"/>
        <w:spacing w:before="200" w:line-rule="auto"/>
        <w:ind w:firstLine="540"/>
        <w:jc w:val="both"/>
      </w:pPr>
      <w:r>
        <w:rPr>
          <w:sz w:val="20"/>
        </w:rPr>
        <w:t xml:space="preserve">По результатам рассмотрения представленной информации контролирующим органом (территориальным органом) принимается решение о переносе сроков проведения контрольного (надзорного)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контролирующий орган (территориальный орган).</w:t>
      </w:r>
    </w:p>
    <w:p>
      <w:pPr>
        <w:pStyle w:val="0"/>
        <w:ind w:firstLine="540"/>
        <w:jc w:val="both"/>
      </w:pPr>
      <w:r>
        <w:rPr>
          <w:sz w:val="20"/>
        </w:rPr>
      </w:r>
    </w:p>
    <w:p>
      <w:pPr>
        <w:pStyle w:val="2"/>
        <w:outlineLvl w:val="2"/>
        <w:jc w:val="center"/>
      </w:pPr>
      <w:r>
        <w:rPr>
          <w:sz w:val="20"/>
        </w:rPr>
        <w:t xml:space="preserve">Порядок фотосъемки, аудио- и видеозаписи и иных способов</w:t>
      </w:r>
    </w:p>
    <w:p>
      <w:pPr>
        <w:pStyle w:val="2"/>
        <w:jc w:val="center"/>
      </w:pPr>
      <w:r>
        <w:rPr>
          <w:sz w:val="20"/>
        </w:rPr>
        <w:t xml:space="preserve">фиксации доказательств</w:t>
      </w:r>
    </w:p>
    <w:p>
      <w:pPr>
        <w:pStyle w:val="0"/>
        <w:jc w:val="center"/>
      </w:pPr>
      <w:r>
        <w:rPr>
          <w:sz w:val="20"/>
        </w:rPr>
      </w:r>
    </w:p>
    <w:p>
      <w:pPr>
        <w:pStyle w:val="0"/>
        <w:ind w:firstLine="540"/>
        <w:jc w:val="both"/>
      </w:pPr>
      <w:r>
        <w:rPr>
          <w:sz w:val="20"/>
        </w:rPr>
        <w:t xml:space="preserve">41. Для фиксации должностным лицом контролирующего органа (территориального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pPr>
        <w:pStyle w:val="0"/>
        <w:spacing w:before="200" w:line-rule="auto"/>
        <w:ind w:firstLine="540"/>
        <w:jc w:val="both"/>
      </w:pPr>
      <w:r>
        <w:rPr>
          <w:sz w:val="20"/>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pPr>
        <w:pStyle w:val="0"/>
        <w:spacing w:before="200" w:line-rule="auto"/>
        <w:ind w:firstLine="540"/>
        <w:jc w:val="both"/>
      </w:pPr>
      <w:r>
        <w:rPr>
          <w:sz w:val="20"/>
        </w:rPr>
        <w:t xml:space="preserve">осмотр - фотосъемка, видеозапись;</w:t>
      </w:r>
    </w:p>
    <w:p>
      <w:pPr>
        <w:pStyle w:val="0"/>
        <w:spacing w:before="200" w:line-rule="auto"/>
        <w:ind w:firstLine="540"/>
        <w:jc w:val="both"/>
      </w:pPr>
      <w:r>
        <w:rPr>
          <w:sz w:val="20"/>
        </w:rPr>
        <w:t xml:space="preserve">опрос - аудиозапись;</w:t>
      </w:r>
    </w:p>
    <w:p>
      <w:pPr>
        <w:pStyle w:val="0"/>
        <w:spacing w:before="200" w:line-rule="auto"/>
        <w:ind w:firstLine="540"/>
        <w:jc w:val="both"/>
      </w:pPr>
      <w:r>
        <w:rPr>
          <w:sz w:val="20"/>
        </w:rPr>
        <w:t xml:space="preserve">получение письменных объяснений - фотосъемка, видеозапись;</w:t>
      </w:r>
    </w:p>
    <w:p>
      <w:pPr>
        <w:pStyle w:val="0"/>
        <w:spacing w:before="200" w:line-rule="auto"/>
        <w:ind w:firstLine="540"/>
        <w:jc w:val="both"/>
      </w:pPr>
      <w:r>
        <w:rPr>
          <w:sz w:val="20"/>
        </w:rPr>
        <w:t xml:space="preserve">истребование документов - фотосъемка, аудио- и видеозапись;</w:t>
      </w:r>
    </w:p>
    <w:p>
      <w:pPr>
        <w:pStyle w:val="0"/>
        <w:spacing w:before="200" w:line-rule="auto"/>
        <w:ind w:firstLine="540"/>
        <w:jc w:val="both"/>
      </w:pPr>
      <w:r>
        <w:rPr>
          <w:sz w:val="20"/>
        </w:rPr>
        <w:t xml:space="preserve">инструментальное обследование - фотосъемка, видеозапись;</w:t>
      </w:r>
    </w:p>
    <w:p>
      <w:pPr>
        <w:pStyle w:val="0"/>
        <w:spacing w:before="200" w:line-rule="auto"/>
        <w:ind w:firstLine="540"/>
        <w:jc w:val="both"/>
      </w:pPr>
      <w:r>
        <w:rPr>
          <w:sz w:val="20"/>
        </w:rPr>
        <w:t xml:space="preserve">экспертиза - фотосъемка, видеозапись.</w:t>
      </w:r>
    </w:p>
    <w:p>
      <w:pPr>
        <w:pStyle w:val="0"/>
        <w:spacing w:before="200" w:line-rule="auto"/>
        <w:ind w:firstLine="540"/>
        <w:jc w:val="both"/>
      </w:pPr>
      <w:r>
        <w:rPr>
          <w:sz w:val="20"/>
        </w:rPr>
        <w:t xml:space="preserve">При отсутствии возможности осуществления видеозаписи применяется аудиозапись проводимого контрольного (надзорного) действия.</w:t>
      </w:r>
    </w:p>
    <w:p>
      <w:pPr>
        <w:pStyle w:val="0"/>
        <w:spacing w:before="200" w:line-rule="auto"/>
        <w:ind w:firstLine="540"/>
        <w:jc w:val="both"/>
      </w:pPr>
      <w:r>
        <w:rPr>
          <w:sz w:val="20"/>
        </w:rPr>
        <w:t xml:space="preserve">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(территориального органа) самостоятельно при проведении экспертизы и инструментального обследования.</w:t>
      </w:r>
    </w:p>
    <w:p>
      <w:pPr>
        <w:pStyle w:val="0"/>
        <w:spacing w:before="200" w:line-rule="auto"/>
        <w:ind w:firstLine="540"/>
        <w:jc w:val="both"/>
      </w:pPr>
      <w:r>
        <w:rPr>
          <w:sz w:val="20"/>
        </w:rPr>
        <w:t xml:space="preserve">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pPr>
        <w:pStyle w:val="0"/>
        <w:ind w:firstLine="540"/>
        <w:jc w:val="both"/>
      </w:pPr>
      <w:r>
        <w:rPr>
          <w:sz w:val="20"/>
        </w:rPr>
      </w:r>
    </w:p>
    <w:p>
      <w:pPr>
        <w:pStyle w:val="2"/>
        <w:outlineLvl w:val="2"/>
        <w:jc w:val="center"/>
      </w:pPr>
      <w:r>
        <w:rPr>
          <w:sz w:val="20"/>
        </w:rPr>
        <w:t xml:space="preserve">Контрольные (надзорные) мероприятия</w:t>
      </w:r>
    </w:p>
    <w:p>
      <w:pPr>
        <w:pStyle w:val="0"/>
        <w:jc w:val="center"/>
      </w:pPr>
      <w:r>
        <w:rPr>
          <w:sz w:val="20"/>
        </w:rPr>
      </w:r>
    </w:p>
    <w:bookmarkStart w:id="191" w:name="P191"/>
    <w:bookmarkEnd w:id="191"/>
    <w:p>
      <w:pPr>
        <w:pStyle w:val="0"/>
        <w:ind w:firstLine="540"/>
        <w:jc w:val="both"/>
      </w:pPr>
      <w:r>
        <w:rPr>
          <w:sz w:val="20"/>
        </w:rPr>
        <w:t xml:space="preserve">42. Федеральный государственный контроль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документарная проверка;</w:t>
      </w:r>
    </w:p>
    <w:p>
      <w:pPr>
        <w:pStyle w:val="0"/>
        <w:spacing w:before="200" w:line-rule="auto"/>
        <w:ind w:firstLine="540"/>
        <w:jc w:val="both"/>
      </w:pPr>
      <w:r>
        <w:rPr>
          <w:sz w:val="20"/>
        </w:rPr>
        <w:t xml:space="preserve">в) выездная проверка.</w:t>
      </w:r>
    </w:p>
    <w:p>
      <w:pPr>
        <w:pStyle w:val="0"/>
        <w:ind w:firstLine="540"/>
        <w:jc w:val="both"/>
      </w:pPr>
      <w:r>
        <w:rPr>
          <w:sz w:val="20"/>
        </w:rPr>
      </w:r>
    </w:p>
    <w:p>
      <w:pPr>
        <w:pStyle w:val="2"/>
        <w:outlineLvl w:val="2"/>
        <w:jc w:val="center"/>
      </w:pPr>
      <w:r>
        <w:rPr>
          <w:sz w:val="20"/>
        </w:rPr>
        <w:t xml:space="preserve">Инспекционный визит</w:t>
      </w:r>
    </w:p>
    <w:p>
      <w:pPr>
        <w:pStyle w:val="0"/>
        <w:jc w:val="center"/>
      </w:pPr>
      <w:r>
        <w:rPr>
          <w:sz w:val="20"/>
        </w:rPr>
      </w:r>
    </w:p>
    <w:p>
      <w:pPr>
        <w:pStyle w:val="0"/>
        <w:ind w:firstLine="540"/>
        <w:jc w:val="both"/>
      </w:pPr>
      <w:r>
        <w:rPr>
          <w:sz w:val="20"/>
        </w:rPr>
        <w:t xml:space="preserve">43. Инспекционный визит проводится по месту нахождения (осуществления деятельности) объекта контроля (его филиалов, представительств, обособленных структурных подразделений).</w:t>
      </w:r>
    </w:p>
    <w:p>
      <w:pPr>
        <w:pStyle w:val="0"/>
        <w:spacing w:before="200" w:line-rule="auto"/>
        <w:ind w:firstLine="540"/>
        <w:jc w:val="both"/>
      </w:pPr>
      <w:r>
        <w:rPr>
          <w:sz w:val="20"/>
        </w:rPr>
        <w:t xml:space="preserve">44.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45. Указанные в </w:t>
      </w:r>
      <w:hyperlink w:history="0" w:anchor="P191" w:tooltip="42. Федеральный государственный контроль (надзор) осуществляется посредством проведения следующих контрольных (надзорных) мероприятий:">
        <w:r>
          <w:rPr>
            <w:sz w:val="20"/>
            <w:color w:val="0000ff"/>
          </w:rPr>
          <w:t xml:space="preserve">пункте 42</w:t>
        </w:r>
      </w:hyperlink>
      <w:r>
        <w:rPr>
          <w:sz w:val="20"/>
        </w:rPr>
        <w:t xml:space="preserve"> настоящего Положения контрольные (надзорные) мероприятия проводятся должностными лицами в порядке, предусмотренном Федеральным </w:t>
      </w:r>
      <w:hyperlink w:history="0" r:id="rId2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2"/>
        <w:jc w:val="center"/>
      </w:pPr>
      <w:r>
        <w:rPr>
          <w:sz w:val="20"/>
        </w:rPr>
        <w:t xml:space="preserve">Документарная проверка</w:t>
      </w:r>
    </w:p>
    <w:p>
      <w:pPr>
        <w:pStyle w:val="0"/>
        <w:jc w:val="center"/>
      </w:pPr>
      <w:r>
        <w:rPr>
          <w:sz w:val="20"/>
        </w:rPr>
      </w:r>
    </w:p>
    <w:p>
      <w:pPr>
        <w:pStyle w:val="0"/>
        <w:ind w:firstLine="540"/>
        <w:jc w:val="both"/>
      </w:pPr>
      <w:r>
        <w:rPr>
          <w:sz w:val="20"/>
        </w:rPr>
        <w:t xml:space="preserve">46.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Срок проведения документарной проверки не может превышать 10 рабочих дней.</w:t>
      </w:r>
    </w:p>
    <w:p>
      <w:pPr>
        <w:pStyle w:val="0"/>
        <w:spacing w:before="200" w:line-rule="auto"/>
        <w:ind w:firstLine="540"/>
        <w:jc w:val="both"/>
      </w:pPr>
      <w:r>
        <w:rPr>
          <w:sz w:val="20"/>
        </w:rPr>
        <w:t xml:space="preserve">47. Документарная проверка проводится в порядке, предусмотренном </w:t>
      </w:r>
      <w:hyperlink w:history="0" r:id="rId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48. В случае если достоверность сведений, содержащихся в документах, имеющихся в распоряжении контролирующего органа (территориального органа), вызывает обоснованные сомнения либо эти сведения не позволяют оценить исполнение контролируемым лицом обязательных требований, контролирующий орган (территориальный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Контролируемое лицо обязано представить в контролирующий орган (территориальный орган) документы и информацию, необходимые для проведения документарной проверки, в срок, указанный в требовании об истребовании документов.</w:t>
      </w:r>
    </w:p>
    <w:p>
      <w:pPr>
        <w:pStyle w:val="0"/>
        <w:spacing w:before="200" w:line-rule="auto"/>
        <w:ind w:firstLine="540"/>
        <w:jc w:val="both"/>
      </w:pPr>
      <w:r>
        <w:rPr>
          <w:sz w:val="20"/>
        </w:rPr>
        <w:t xml:space="preserve">49. В целях недопущения нарушения сроков проведения документарной проверки контрольными датами контрольных (надзорных) действий, в том числе предоставления контролируемым лицом запрашиваемых документов, являются даты регистрации соответствующих документов в системе электронного документооборота контролирующего органа (территориального органа).</w:t>
      </w:r>
    </w:p>
    <w:p>
      <w:pPr>
        <w:pStyle w:val="0"/>
        <w:spacing w:before="200" w:line-rule="auto"/>
        <w:ind w:firstLine="540"/>
        <w:jc w:val="both"/>
      </w:pPr>
      <w:r>
        <w:rPr>
          <w:sz w:val="20"/>
        </w:rPr>
        <w:t xml:space="preserve">50. Направление контролируемому лицу запросов о получении информации по существу вопросов, указанных в обращениях граждан и иных лиц, поступивших в контролирующий орган (территориальный орган), не является документарной проверкой.</w:t>
      </w:r>
    </w:p>
    <w:p>
      <w:pPr>
        <w:pStyle w:val="0"/>
        <w:ind w:firstLine="540"/>
        <w:jc w:val="both"/>
      </w:pPr>
      <w:r>
        <w:rPr>
          <w:sz w:val="20"/>
        </w:rPr>
      </w:r>
    </w:p>
    <w:p>
      <w:pPr>
        <w:pStyle w:val="2"/>
        <w:outlineLvl w:val="2"/>
        <w:jc w:val="center"/>
      </w:pPr>
      <w:r>
        <w:rPr>
          <w:sz w:val="20"/>
        </w:rPr>
        <w:t xml:space="preserve">Выездная проверка</w:t>
      </w:r>
    </w:p>
    <w:p>
      <w:pPr>
        <w:pStyle w:val="0"/>
        <w:jc w:val="center"/>
      </w:pPr>
      <w:r>
        <w:rPr>
          <w:sz w:val="20"/>
        </w:rPr>
      </w:r>
    </w:p>
    <w:p>
      <w:pPr>
        <w:pStyle w:val="0"/>
        <w:ind w:firstLine="540"/>
        <w:jc w:val="both"/>
      </w:pPr>
      <w:r>
        <w:rPr>
          <w:sz w:val="20"/>
        </w:rPr>
        <w:t xml:space="preserve">51.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экспертиза.</w:t>
      </w:r>
    </w:p>
    <w:p>
      <w:pPr>
        <w:pStyle w:val="0"/>
        <w:spacing w:before="200" w:line-rule="auto"/>
        <w:ind w:firstLine="540"/>
        <w:jc w:val="both"/>
      </w:pPr>
      <w:r>
        <w:rPr>
          <w:sz w:val="20"/>
        </w:rPr>
        <w:t xml:space="preserve">Срок проведения выездной проверки не может превышать 10 рабочих дней.</w:t>
      </w:r>
    </w:p>
    <w:p>
      <w:pPr>
        <w:pStyle w:val="0"/>
        <w:spacing w:before="200" w:line-rule="auto"/>
        <w:ind w:firstLine="540"/>
        <w:jc w:val="both"/>
      </w:pPr>
      <w:r>
        <w:rPr>
          <w:sz w:val="20"/>
        </w:rPr>
        <w:t xml:space="preserve">52. Выездная проверка проводится в порядке, предусмотренном </w:t>
      </w:r>
      <w:hyperlink w:history="0" r:id="rId2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"О государственном контроле (надзоре) и муниципальном контроле в Российской Федерации". О проведении выездной проверки контролируемое лицо уведомляется в порядке, предусмотренном </w:t>
      </w:r>
      <w:hyperlink w:history="0" r:id="rId2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 государственном контроле (надзоре) и муниципальном контроле в Российской Федерации", посредством направления копии приказа о проведении выездной проверки не позднее чем за 24 часа до ее начала.</w:t>
      </w:r>
    </w:p>
    <w:p>
      <w:pPr>
        <w:pStyle w:val="0"/>
        <w:ind w:firstLine="540"/>
        <w:jc w:val="both"/>
      </w:pPr>
      <w:r>
        <w:rPr>
          <w:sz w:val="20"/>
        </w:rPr>
      </w:r>
    </w:p>
    <w:p>
      <w:pPr>
        <w:pStyle w:val="2"/>
        <w:outlineLvl w:val="1"/>
        <w:jc w:val="center"/>
      </w:pPr>
      <w:r>
        <w:rPr>
          <w:sz w:val="20"/>
        </w:rPr>
        <w:t xml:space="preserve">V. Результаты контрольного (надзорного) мероприятия</w:t>
      </w:r>
    </w:p>
    <w:p>
      <w:pPr>
        <w:pStyle w:val="0"/>
        <w:ind w:firstLine="540"/>
        <w:jc w:val="both"/>
      </w:pPr>
      <w:r>
        <w:rPr>
          <w:sz w:val="20"/>
        </w:rPr>
      </w:r>
    </w:p>
    <w:p>
      <w:pPr>
        <w:pStyle w:val="0"/>
        <w:ind w:firstLine="540"/>
        <w:jc w:val="both"/>
      </w:pPr>
      <w:r>
        <w:rPr>
          <w:sz w:val="20"/>
        </w:rPr>
        <w:t xml:space="preserve">53. По окончании проведения контрольного (надзорного) мероприятия составляется акт контрольного (надзорного) мероприятия (далее - акт).</w:t>
      </w:r>
    </w:p>
    <w:p>
      <w:pPr>
        <w:pStyle w:val="0"/>
        <w:spacing w:before="200" w:line-rule="auto"/>
        <w:ind w:firstLine="540"/>
        <w:jc w:val="both"/>
      </w:pPr>
      <w:r>
        <w:rPr>
          <w:sz w:val="20"/>
        </w:rPr>
        <w:t xml:space="preserve">54. Оформление акта производится на месте проведения контрольного (надзорного) мероприятия в день окончания проведения такого мероприятия.</w:t>
      </w:r>
    </w:p>
    <w:p>
      <w:pPr>
        <w:pStyle w:val="0"/>
        <w:spacing w:before="200" w:line-rule="auto"/>
        <w:ind w:firstLine="540"/>
        <w:jc w:val="both"/>
      </w:pPr>
      <w:r>
        <w:rPr>
          <w:sz w:val="20"/>
        </w:rPr>
        <w:t xml:space="preserve">55. При наличии обстоятельств, связанных с большим объемом проверяемых и анализируемых документов, значительным количеством осуществляемых видов деятельности по обработке персональных данных, разветвленностью организационно-хозяйственной структуры оператора, сложностью технологических процессов обработки персональных данных, оформление и вручение акта производятся не позднее 5 рабочих дней со дня окончания контрольного (надзорного) мероприятия.</w:t>
      </w:r>
    </w:p>
    <w:p>
      <w:pPr>
        <w:pStyle w:val="0"/>
        <w:spacing w:before="200" w:line-rule="auto"/>
        <w:ind w:firstLine="540"/>
        <w:jc w:val="both"/>
      </w:pPr>
      <w:r>
        <w:rPr>
          <w:sz w:val="20"/>
        </w:rPr>
        <w:t xml:space="preserve">56. К акту прилагаются протоколы контрольных (надзорных) действий, предписание об устранении выявленных нарушений, материальные носители персональных данных и иные связанные с результатами контрольных (надзорных) мероприятий оригиналы документов или их копии.</w:t>
      </w:r>
    </w:p>
    <w:p>
      <w:pPr>
        <w:pStyle w:val="0"/>
        <w:ind w:firstLine="540"/>
        <w:jc w:val="both"/>
      </w:pPr>
      <w:r>
        <w:rPr>
          <w:sz w:val="20"/>
        </w:rPr>
      </w:r>
    </w:p>
    <w:p>
      <w:pPr>
        <w:pStyle w:val="2"/>
        <w:outlineLvl w:val="1"/>
        <w:jc w:val="center"/>
      </w:pPr>
      <w:r>
        <w:rPr>
          <w:sz w:val="20"/>
        </w:rPr>
        <w:t xml:space="preserve">VI. Обжалование решений контролирующего органа, действий</w:t>
      </w:r>
    </w:p>
    <w:p>
      <w:pPr>
        <w:pStyle w:val="2"/>
        <w:jc w:val="center"/>
      </w:pPr>
      <w:r>
        <w:rPr>
          <w:sz w:val="20"/>
        </w:rPr>
        <w:t xml:space="preserve">(бездействия) его должностных лиц</w:t>
      </w:r>
    </w:p>
    <w:p>
      <w:pPr>
        <w:pStyle w:val="0"/>
        <w:ind w:firstLine="540"/>
        <w:jc w:val="both"/>
      </w:pPr>
      <w:r>
        <w:rPr>
          <w:sz w:val="20"/>
        </w:rPr>
      </w:r>
    </w:p>
    <w:p>
      <w:pPr>
        <w:pStyle w:val="0"/>
        <w:ind w:firstLine="540"/>
        <w:jc w:val="both"/>
      </w:pPr>
      <w:r>
        <w:rPr>
          <w:sz w:val="20"/>
        </w:rPr>
        <w:t xml:space="preserve">57. Правом на обжалование решений контролирующего органа (территориального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w:history="0" r:id="rId3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Жалоба на решение территориального органа контролирующего органа, действия (бездействие) его должностных лиц рассматривается руководителем (заместителем руководителя) данного территориального органа либо контролирующим органом.</w:t>
      </w:r>
    </w:p>
    <w:p>
      <w:pPr>
        <w:pStyle w:val="0"/>
        <w:spacing w:before="200" w:line-rule="auto"/>
        <w:ind w:firstLine="540"/>
        <w:jc w:val="both"/>
      </w:pPr>
      <w:r>
        <w:rPr>
          <w:sz w:val="20"/>
        </w:rPr>
        <w:t xml:space="preserve">Жалоба на действия (бездействие) руководителя (заместителя руководителя) территориального органа контролирующего органа рассматривается контролирующим органом.</w:t>
      </w:r>
    </w:p>
    <w:p>
      <w:pPr>
        <w:pStyle w:val="0"/>
        <w:spacing w:before="200" w:line-rule="auto"/>
        <w:ind w:firstLine="540"/>
        <w:jc w:val="both"/>
      </w:pPr>
      <w:r>
        <w:rPr>
          <w:sz w:val="20"/>
        </w:rPr>
        <w:t xml:space="preserve">В случае обжалования решений должностного лица контролирующего органа, действий (бездействия) должностных лиц центрального аппарата контролирующего органа жалоба рассматривается руководителем контролирующего органа.</w:t>
      </w:r>
    </w:p>
    <w:p>
      <w:pPr>
        <w:pStyle w:val="0"/>
        <w:spacing w:before="200" w:line-rule="auto"/>
        <w:ind w:firstLine="540"/>
        <w:jc w:val="both"/>
      </w:pPr>
      <w:r>
        <w:rPr>
          <w:sz w:val="20"/>
        </w:rPr>
        <w:t xml:space="preserve">Жалоба на решение, действия (бездействие) должностных лиц контролирующего органа (территориального органа) может быть подана в течение 30 календарных дней со дня, когда контролируемое лицо узнало или должно было узнать о нарушении своих прав.</w:t>
      </w:r>
    </w:p>
    <w:p>
      <w:pPr>
        <w:pStyle w:val="0"/>
        <w:spacing w:before="200" w:line-rule="auto"/>
        <w:ind w:firstLine="540"/>
        <w:jc w:val="both"/>
      </w:pPr>
      <w:r>
        <w:rPr>
          <w:sz w:val="20"/>
        </w:rPr>
        <w:t xml:space="preserve">Жалоба на предписание контролирующего органа (территориального органа) может быть подана в течение 10 рабочих дней с момента получения контролируемым лицом предписания.</w:t>
      </w:r>
    </w:p>
    <w:p>
      <w:pPr>
        <w:pStyle w:val="0"/>
        <w:spacing w:before="200" w:line-rule="auto"/>
        <w:ind w:firstLine="540"/>
        <w:jc w:val="both"/>
      </w:pPr>
      <w:r>
        <w:rPr>
          <w:sz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контролирующим органом (территориальным органом).</w:t>
      </w:r>
    </w:p>
    <w:p>
      <w:pPr>
        <w:pStyle w:val="0"/>
        <w:spacing w:before="200" w:line-rule="auto"/>
        <w:ind w:firstLine="540"/>
        <w:jc w:val="both"/>
      </w:pPr>
      <w:r>
        <w:rPr>
          <w:sz w:val="20"/>
        </w:rPr>
        <w:t xml:space="preserve">Лицо, подавшее жалобу, до принятия решения по жалобе может ее отозвать.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Жалоба может содержать ходатайство о приостановлении исполнения обжалуемого решения контролирующего органа (территориального органа).</w:t>
      </w:r>
    </w:p>
    <w:p>
      <w:pPr>
        <w:pStyle w:val="0"/>
        <w:spacing w:before="200" w:line-rule="auto"/>
        <w:ind w:firstLine="540"/>
        <w:jc w:val="both"/>
      </w:pPr>
      <w:r>
        <w:rPr>
          <w:sz w:val="20"/>
        </w:rPr>
        <w:t xml:space="preserve">Контролирующий орган (территориальный орган) не позднее 2 рабочих дней со дня регистрации жалобы принимает решение:</w:t>
      </w:r>
    </w:p>
    <w:p>
      <w:pPr>
        <w:pStyle w:val="0"/>
        <w:spacing w:before="200" w:line-rule="auto"/>
        <w:ind w:firstLine="540"/>
        <w:jc w:val="both"/>
      </w:pPr>
      <w:r>
        <w:rPr>
          <w:sz w:val="20"/>
        </w:rPr>
        <w:t xml:space="preserve">о приостановлении исполнения обжалуемого решения;</w:t>
      </w:r>
    </w:p>
    <w:p>
      <w:pPr>
        <w:pStyle w:val="0"/>
        <w:spacing w:before="200" w:line-rule="auto"/>
        <w:ind w:firstLine="540"/>
        <w:jc w:val="both"/>
      </w:pPr>
      <w:r>
        <w:rPr>
          <w:sz w:val="20"/>
        </w:rPr>
        <w:t xml:space="preserve">об отказе в приостановлении исполнения обжалуемого решения.</w:t>
      </w:r>
    </w:p>
    <w:p>
      <w:pPr>
        <w:pStyle w:val="0"/>
        <w:spacing w:before="200" w:line-rule="auto"/>
        <w:ind w:firstLine="540"/>
        <w:jc w:val="both"/>
      </w:pPr>
      <w:r>
        <w:rPr>
          <w:sz w:val="20"/>
        </w:rPr>
        <w:t xml:space="preserve">Информация об указанном решении направляется лицу, подавшему жалобу, в течение одного рабочего дня с момента принятия решения.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наименование контролирующего органа (территориального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организации-заявителя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сведения об обжалуемом решении и (или) действии (бездействии) должностного лица контролирующего органа (территориального органа),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основания и доводы, на основании которых заявитель не согласен с решением и (или) действием (бездействием) должностного лица контролирующего органа (территориального органа). Лицом, подающим жалобу,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требования лица, подавшего жалобу;</w:t>
      </w:r>
    </w:p>
    <w:p>
      <w:pPr>
        <w:pStyle w:val="0"/>
        <w:spacing w:before="200" w:line-rule="auto"/>
        <w:ind w:firstLine="540"/>
        <w:jc w:val="both"/>
      </w:pPr>
      <w:r>
        <w:rPr>
          <w:sz w:val="20"/>
        </w:rPr>
        <w:t xml:space="preserve">учетный номер контрольного (надзорного) мероприятия в едином реестре контрольных (надзорных) мероприятий, в отношении которого подается жалоба.</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 имуществу должностных лиц контролирующего органа (территориального органа) либо членов их семей.</w:t>
      </w:r>
    </w:p>
    <w:p>
      <w:pPr>
        <w:pStyle w:val="0"/>
        <w:spacing w:before="200" w:line-rule="auto"/>
        <w:ind w:firstLine="540"/>
        <w:jc w:val="both"/>
      </w:pPr>
      <w:r>
        <w:rPr>
          <w:sz w:val="20"/>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spacing w:before="200" w:line-rule="auto"/>
        <w:ind w:firstLine="540"/>
        <w:jc w:val="both"/>
      </w:pPr>
      <w:r>
        <w:rPr>
          <w:sz w:val="20"/>
        </w:rPr>
        <w:t xml:space="preserve">Контролирующий орган (территориальный орган) принимает решение об отказе в рассмотрении жалобы в течение 5 рабочих дней с момента получения жалобы, если:</w:t>
      </w:r>
    </w:p>
    <w:p>
      <w:pPr>
        <w:pStyle w:val="0"/>
        <w:spacing w:before="200" w:line-rule="auto"/>
        <w:ind w:firstLine="540"/>
        <w:jc w:val="both"/>
      </w:pPr>
      <w:r>
        <w:rPr>
          <w:sz w:val="20"/>
        </w:rPr>
        <w:t xml:space="preserve">жалоба подана после истечения сроков подачи жалобы, установленных </w:t>
      </w:r>
      <w:hyperlink w:history="0" r:id="rId3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частями 5</w:t>
        </w:r>
      </w:hyperlink>
      <w:r>
        <w:rPr>
          <w:sz w:val="20"/>
        </w:rPr>
        <w:t xml:space="preserve"> и </w:t>
      </w:r>
      <w:hyperlink w:history="0" r:id="rId3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6 статьи 40</w:t>
        </w:r>
      </w:hyperlink>
      <w:r>
        <w:rPr>
          <w:sz w:val="20"/>
        </w:rPr>
        <w:t xml:space="preserve">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в удовлетворении ходатайства о восстановлении пропущенного срока на подачу жалобы отказано;</w:t>
      </w:r>
    </w:p>
    <w:p>
      <w:pPr>
        <w:pStyle w:val="0"/>
        <w:spacing w:before="200" w:line-rule="auto"/>
        <w:ind w:firstLine="540"/>
        <w:jc w:val="both"/>
      </w:pPr>
      <w:r>
        <w:rPr>
          <w:sz w:val="20"/>
        </w:rPr>
        <w:t xml:space="preserve">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имеется решение суда по вопросам, поставленным в жалобе;</w:t>
      </w:r>
    </w:p>
    <w:p>
      <w:pPr>
        <w:pStyle w:val="0"/>
        <w:spacing w:before="200" w:line-rule="auto"/>
        <w:ind w:firstLine="540"/>
        <w:jc w:val="both"/>
      </w:pPr>
      <w:r>
        <w:rPr>
          <w:sz w:val="20"/>
        </w:rPr>
        <w:t xml:space="preserve">ранее в уполномоченный на рассмотрение жалобы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0"/>
        <w:spacing w:before="200" w:line-rule="auto"/>
        <w:ind w:firstLine="540"/>
        <w:jc w:val="both"/>
      </w:pPr>
      <w:r>
        <w:rPr>
          <w:sz w:val="20"/>
        </w:rPr>
        <w:t xml:space="preserve">жалоба подана в ненадлежащий уполномоченный орган;</w:t>
      </w:r>
    </w:p>
    <w:p>
      <w:pPr>
        <w:pStyle w:val="0"/>
        <w:spacing w:before="200" w:line-rule="auto"/>
        <w:ind w:firstLine="540"/>
        <w:jc w:val="both"/>
      </w:pPr>
      <w:r>
        <w:rPr>
          <w:sz w:val="20"/>
        </w:rPr>
        <w:t xml:space="preserve">законодательством Российской Федерации предусмотрен только судебный порядок обжалования решений контрольного (надзорного) органа.</w:t>
      </w:r>
    </w:p>
    <w:p>
      <w:pPr>
        <w:pStyle w:val="0"/>
        <w:spacing w:before="200" w:line-rule="auto"/>
        <w:ind w:firstLine="540"/>
        <w:jc w:val="both"/>
      </w:pPr>
      <w:r>
        <w:rPr>
          <w:sz w:val="20"/>
        </w:rPr>
        <w:t xml:space="preserve">Контролирующий орган (территориальный орган) вправе запросить у лица, подавшего жалобу, дополнительную информацию и документы, относящиеся к предмету жалобы. Контролируемое лицо обязано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контролирующим органом (территориальным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Не допускается запрашивать у контролируемого лица, подавшего жалобу, документы и информацию, которые находятся в распоряжении контролирующего органа (территориального органа).</w:t>
      </w:r>
    </w:p>
    <w:p>
      <w:pPr>
        <w:pStyle w:val="0"/>
        <w:spacing w:before="200" w:line-rule="auto"/>
        <w:ind w:firstLine="540"/>
        <w:jc w:val="both"/>
      </w:pPr>
      <w:r>
        <w:rPr>
          <w:sz w:val="20"/>
        </w:rPr>
        <w:t xml:space="preserve">Жалоба рассматривается контролирующим органом (территориальным органом) в течение 20 рабочих дней со дня ее регистрации.</w:t>
      </w:r>
    </w:p>
    <w:p>
      <w:pPr>
        <w:pStyle w:val="0"/>
        <w:spacing w:before="200" w:line-rule="auto"/>
        <w:ind w:firstLine="540"/>
        <w:jc w:val="both"/>
      </w:pPr>
      <w:r>
        <w:rPr>
          <w:sz w:val="20"/>
        </w:rPr>
        <w:t xml:space="preserve">Обязанность доказывания законности и обоснованности принятого решения и (или) совершенного действия (бездействия) возлагается на контролирующий орган (территориальный орган).</w:t>
      </w:r>
    </w:p>
    <w:p>
      <w:pPr>
        <w:pStyle w:val="0"/>
        <w:spacing w:before="200" w:line-rule="auto"/>
        <w:ind w:firstLine="540"/>
        <w:jc w:val="both"/>
      </w:pPr>
      <w:r>
        <w:rPr>
          <w:sz w:val="20"/>
        </w:rPr>
        <w:t xml:space="preserve">По итогам рассмотрения жалобы контролирующий орган (территориальный орган):</w:t>
      </w:r>
    </w:p>
    <w:p>
      <w:pPr>
        <w:pStyle w:val="0"/>
        <w:spacing w:before="200" w:line-rule="auto"/>
        <w:ind w:firstLine="540"/>
        <w:jc w:val="both"/>
      </w:pPr>
      <w:r>
        <w:rPr>
          <w:sz w:val="20"/>
        </w:rPr>
        <w:t xml:space="preserve">оставляет жалобу без удовлетворения;</w:t>
      </w:r>
    </w:p>
    <w:p>
      <w:pPr>
        <w:pStyle w:val="0"/>
        <w:spacing w:before="200" w:line-rule="auto"/>
        <w:ind w:firstLine="540"/>
        <w:jc w:val="both"/>
      </w:pPr>
      <w:r>
        <w:rPr>
          <w:sz w:val="20"/>
        </w:rPr>
        <w:t xml:space="preserve">отменяет решение полностью или частично;</w:t>
      </w:r>
    </w:p>
    <w:p>
      <w:pPr>
        <w:pStyle w:val="0"/>
        <w:spacing w:before="200" w:line-rule="auto"/>
        <w:ind w:firstLine="540"/>
        <w:jc w:val="both"/>
      </w:pPr>
      <w:r>
        <w:rPr>
          <w:sz w:val="20"/>
        </w:rPr>
        <w:t xml:space="preserve">отменяет решение полностью и принимает новое решение;</w:t>
      </w:r>
    </w:p>
    <w:p>
      <w:pPr>
        <w:pStyle w:val="0"/>
        <w:spacing w:before="200" w:line-rule="auto"/>
        <w:ind w:firstLine="540"/>
        <w:jc w:val="both"/>
      </w:pPr>
      <w:r>
        <w:rPr>
          <w:sz w:val="20"/>
        </w:rPr>
        <w:t xml:space="preserve">признает действия (бездействие) должностных лиц контролирующего органа (территориального органа) незаконными.</w:t>
      </w:r>
    </w:p>
    <w:p>
      <w:pPr>
        <w:pStyle w:val="0"/>
        <w:spacing w:before="200" w:line-rule="auto"/>
        <w:ind w:firstLine="540"/>
        <w:jc w:val="both"/>
      </w:pPr>
      <w:r>
        <w:rPr>
          <w:sz w:val="20"/>
        </w:rPr>
        <w:t xml:space="preserve">Решение контролирующего органа (территориального органа), содержащее обоснование принятого решения, срок и порядок его исполнения, размещается не позднее рабочего дня со дня его принятия в личном кабинете контролируемого лица в федеральной государственной информационной системе "Единый портал государственных и муниципальных услуг (функций)".</w:t>
      </w:r>
    </w:p>
    <w:p>
      <w:pPr>
        <w:pStyle w:val="0"/>
        <w:ind w:firstLine="540"/>
        <w:jc w:val="both"/>
      </w:pPr>
      <w:r>
        <w:rPr>
          <w:sz w:val="20"/>
        </w:rPr>
      </w:r>
    </w:p>
    <w:p>
      <w:pPr>
        <w:pStyle w:val="2"/>
        <w:outlineLvl w:val="1"/>
        <w:jc w:val="center"/>
      </w:pPr>
      <w:r>
        <w:rPr>
          <w:sz w:val="20"/>
        </w:rPr>
        <w:t xml:space="preserve">VII. Организация и проведение мероприятий по контролю</w:t>
      </w:r>
    </w:p>
    <w:p>
      <w:pPr>
        <w:pStyle w:val="2"/>
        <w:jc w:val="center"/>
      </w:pPr>
      <w:r>
        <w:rPr>
          <w:sz w:val="20"/>
        </w:rPr>
        <w:t xml:space="preserve">без взаимодействия с контролируемым лицом</w:t>
      </w:r>
    </w:p>
    <w:p>
      <w:pPr>
        <w:pStyle w:val="0"/>
        <w:jc w:val="center"/>
      </w:pPr>
      <w:r>
        <w:rPr>
          <w:sz w:val="20"/>
        </w:rPr>
      </w:r>
    </w:p>
    <w:p>
      <w:pPr>
        <w:pStyle w:val="0"/>
        <w:ind w:firstLine="540"/>
        <w:jc w:val="both"/>
      </w:pPr>
      <w:r>
        <w:rPr>
          <w:sz w:val="20"/>
        </w:rPr>
        <w:t xml:space="preserve">58. Мероприятия по контролю без взаимодействия с контролируемым лицом проводятся в целях предупреждения, выявления, прогнозирования и пресечения нарушения требований.</w:t>
      </w:r>
    </w:p>
    <w:p>
      <w:pPr>
        <w:pStyle w:val="0"/>
        <w:spacing w:before="200" w:line-rule="auto"/>
        <w:ind w:firstLine="540"/>
        <w:jc w:val="both"/>
      </w:pPr>
      <w:r>
        <w:rPr>
          <w:sz w:val="20"/>
        </w:rPr>
        <w:t xml:space="preserve">Мероприятия по контролю без взаимодействия с контролируемым лицом проводятся должностными лицами контролирующего органа (территориального органа) на основании заданий на проведение таких мероприятий, утверждаемых руководителем (уполномоченным заместителем руководителя) контролирующего органа (территориального органа).</w:t>
      </w:r>
    </w:p>
    <w:p>
      <w:pPr>
        <w:pStyle w:val="0"/>
        <w:spacing w:before="200" w:line-rule="auto"/>
        <w:ind w:firstLine="540"/>
        <w:jc w:val="both"/>
      </w:pPr>
      <w:r>
        <w:rPr>
          <w:sz w:val="20"/>
        </w:rPr>
        <w:t xml:space="preserve">59. К мероприятиям по контролю без взаимодействия с контролируемым лицом относятся:</w:t>
      </w:r>
    </w:p>
    <w:p>
      <w:pPr>
        <w:pStyle w:val="0"/>
        <w:spacing w:before="200" w:line-rule="auto"/>
        <w:ind w:firstLine="540"/>
        <w:jc w:val="both"/>
      </w:pPr>
      <w:r>
        <w:rPr>
          <w:sz w:val="20"/>
        </w:rPr>
        <w:t xml:space="preserve">а) наблюдение за соблюдением требований при размещении информации в сети "Интернет";</w:t>
      </w:r>
    </w:p>
    <w:p>
      <w:pPr>
        <w:pStyle w:val="0"/>
        <w:spacing w:before="200" w:line-rule="auto"/>
        <w:ind w:firstLine="540"/>
        <w:jc w:val="both"/>
      </w:pPr>
      <w:r>
        <w:rPr>
          <w:sz w:val="20"/>
        </w:rPr>
        <w:t xml:space="preserve">б) наблюдение за соблюдением требований посредством анализа информации о деятельности контролируемого лица, которая представляется контролируемым лицом (в том числе посредством использования федеральных государственных информационных систем) в контролирующий орган (территориальный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w:t>
      </w:r>
    </w:p>
    <w:p>
      <w:pPr>
        <w:pStyle w:val="0"/>
        <w:spacing w:before="200" w:line-rule="auto"/>
        <w:ind w:firstLine="540"/>
        <w:jc w:val="both"/>
      </w:pPr>
      <w:r>
        <w:rPr>
          <w:sz w:val="20"/>
        </w:rPr>
        <w:t xml:space="preserve">60. Задание на проведение мероприятия по контролю без взаимодействия с контролируемым лицом выдается в случае:</w:t>
      </w:r>
    </w:p>
    <w:p>
      <w:pPr>
        <w:pStyle w:val="0"/>
        <w:spacing w:before="200" w:line-rule="auto"/>
        <w:ind w:firstLine="540"/>
        <w:jc w:val="both"/>
      </w:pPr>
      <w:r>
        <w:rPr>
          <w:sz w:val="20"/>
        </w:rPr>
        <w:t xml:space="preserve">а) наличия поручения Президента Российской Федерации, поручения Правительства Российской Федерации, а также руководителя контролирующего органа;</w:t>
      </w:r>
    </w:p>
    <w:p>
      <w:pPr>
        <w:pStyle w:val="0"/>
        <w:spacing w:before="200" w:line-rule="auto"/>
        <w:ind w:firstLine="540"/>
        <w:jc w:val="both"/>
      </w:pPr>
      <w:r>
        <w:rPr>
          <w:sz w:val="20"/>
        </w:rPr>
        <w:t xml:space="preserve">б) обращения государственного органа, муниципального органа, юридического лица, индивидуального предпринимателя, физического лица, публикации в средствах массовой информации и размещения в сети "Интернет" информации о нарушении прав и законных интересов субъекта (субъектов) персональных данных и (или) нарушении требований.</w:t>
      </w:r>
    </w:p>
    <w:p>
      <w:pPr>
        <w:pStyle w:val="0"/>
        <w:spacing w:before="200" w:line-rule="auto"/>
        <w:ind w:firstLine="540"/>
        <w:jc w:val="both"/>
      </w:pPr>
      <w:r>
        <w:rPr>
          <w:sz w:val="20"/>
        </w:rPr>
        <w:t xml:space="preserve">61. По итогам проведения мероприятия по контролю без взаимодействия с контролируемым лицом должностными лицами составляется докладная записка на имя руководителя (уполномоченного заместителя руководителя) контролирующего органа (территориального органа).</w:t>
      </w:r>
    </w:p>
    <w:p>
      <w:pPr>
        <w:pStyle w:val="0"/>
        <w:spacing w:before="200" w:line-rule="auto"/>
        <w:ind w:firstLine="540"/>
        <w:jc w:val="both"/>
      </w:pPr>
      <w:r>
        <w:rPr>
          <w:sz w:val="20"/>
        </w:rPr>
        <w:t xml:space="preserve">При выявлении по итогам проведения мероприятия по контролю без взаимодействия с контролируемым лицом нарушения (признаков нарушения) требований оператору персональных данных направляется требование об уточнении, блокировании или уничтожении недостоверных или полученных незаконным путем персональных данных в течение 10 рабочих дней с информированием контролирующего органа (территориального органа) об исполнении указанного требования либо с представлением мотивированных пояснений по существу выявленных признаков нарушения требований.</w:t>
      </w:r>
    </w:p>
    <w:p>
      <w:pPr>
        <w:pStyle w:val="0"/>
        <w:spacing w:before="200" w:line-rule="auto"/>
        <w:ind w:firstLine="540"/>
        <w:jc w:val="both"/>
      </w:pPr>
      <w:r>
        <w:rPr>
          <w:sz w:val="20"/>
        </w:rPr>
        <w:t xml:space="preserve">Выявленные по итогам проведения мероприятия по контролю без взаимодействия с контролируемым лицом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контролирующим органом (территориального органа) для принятия решений в соответствии со </w:t>
      </w:r>
      <w:hyperlink w:history="0" r:id="rId3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jc w:val="center"/>
      </w:pPr>
      <w:r>
        <w:rPr>
          <w:sz w:val="20"/>
        </w:rPr>
        <w:t xml:space="preserve">VIII. Ключевой показатель федерального контроля</w:t>
      </w:r>
    </w:p>
    <w:p>
      <w:pPr>
        <w:pStyle w:val="2"/>
        <w:jc w:val="center"/>
      </w:pPr>
      <w:r>
        <w:rPr>
          <w:sz w:val="20"/>
        </w:rPr>
        <w:t xml:space="preserve">и его целевые значения</w:t>
      </w:r>
    </w:p>
    <w:p>
      <w:pPr>
        <w:pStyle w:val="0"/>
        <w:jc w:val="center"/>
      </w:pPr>
      <w:r>
        <w:rPr>
          <w:sz w:val="20"/>
        </w:rPr>
        <w:t xml:space="preserve">(введен </w:t>
      </w:r>
      <w:hyperlink w:history="0" r:id="rId34" w:tooltip="Постановление Правительства РФ от 16.12.2021 N 2311 &quot;О внесении изменений в Положение о федеральном государственном контроле (надзоре) за обработкой персональных данных&quot; {КонсультантПлюс}">
        <w:r>
          <w:rPr>
            <w:sz w:val="20"/>
            <w:color w:val="0000ff"/>
          </w:rPr>
          <w:t xml:space="preserve">Постановлением</w:t>
        </w:r>
      </w:hyperlink>
      <w:r>
        <w:rPr>
          <w:sz w:val="20"/>
        </w:rPr>
        <w:t xml:space="preserve"> Правительства РФ от 16.12.2021 N 2311)</w:t>
      </w:r>
    </w:p>
    <w:p>
      <w:pPr>
        <w:pStyle w:val="0"/>
        <w:ind w:firstLine="540"/>
        <w:jc w:val="both"/>
      </w:pPr>
      <w:r>
        <w:rPr>
          <w:sz w:val="20"/>
        </w:rPr>
      </w:r>
    </w:p>
    <w:p>
      <w:pPr>
        <w:pStyle w:val="0"/>
        <w:ind w:firstLine="540"/>
        <w:jc w:val="both"/>
      </w:pPr>
      <w:r>
        <w:rPr>
          <w:sz w:val="20"/>
        </w:rPr>
        <w:t xml:space="preserve">62. Ключевым показателем государственного контроля (надзора) и его целевыми значениями является доля контролируемых лиц, категория риска которых повышена в отчетном периоде по причинам, не связанным с изменением группы тяжести указанных контролируемых лиц, к общему числу контролируемых лиц в 2022 году - не более 5 процентов, в 2023 году - не более 5 процентов, в 2024 году - не более 4 процентов, в 2025 году - не более 4 процентов и в 2026 году - не более 3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федеральном</w:t>
      </w:r>
    </w:p>
    <w:p>
      <w:pPr>
        <w:pStyle w:val="0"/>
        <w:jc w:val="right"/>
      </w:pPr>
      <w:r>
        <w:rPr>
          <w:sz w:val="20"/>
        </w:rPr>
        <w:t xml:space="preserve">государственном контроле (надзоре)</w:t>
      </w:r>
    </w:p>
    <w:p>
      <w:pPr>
        <w:pStyle w:val="0"/>
        <w:jc w:val="right"/>
      </w:pPr>
      <w:r>
        <w:rPr>
          <w:sz w:val="20"/>
        </w:rPr>
        <w:t xml:space="preserve">за обработкой персональных данных</w:t>
      </w:r>
    </w:p>
    <w:p>
      <w:pPr>
        <w:pStyle w:val="0"/>
        <w:jc w:val="right"/>
      </w:pPr>
      <w:r>
        <w:rPr>
          <w:sz w:val="20"/>
        </w:rPr>
      </w:r>
    </w:p>
    <w:bookmarkStart w:id="313" w:name="P313"/>
    <w:bookmarkEnd w:id="313"/>
    <w:p>
      <w:pPr>
        <w:pStyle w:val="2"/>
        <w:jc w:val="center"/>
      </w:pPr>
      <w:r>
        <w:rPr>
          <w:sz w:val="20"/>
        </w:rPr>
        <w:t xml:space="preserve">КРИТЕРИИ</w:t>
      </w:r>
    </w:p>
    <w:p>
      <w:pPr>
        <w:pStyle w:val="2"/>
        <w:jc w:val="center"/>
      </w:pPr>
      <w:r>
        <w:rPr>
          <w:sz w:val="20"/>
        </w:rPr>
        <w:t xml:space="preserve">ОТНЕСЕНИЯ ОБЪЕКТОВ КОНТРОЛЯ К ОПРЕДЕЛЕННОЙ КАТЕГОРИИ РИСКА</w:t>
      </w:r>
    </w:p>
    <w:p>
      <w:pPr>
        <w:pStyle w:val="0"/>
        <w:jc w:val="center"/>
      </w:pPr>
      <w:r>
        <w:rPr>
          <w:sz w:val="20"/>
        </w:rPr>
      </w:r>
    </w:p>
    <w:p>
      <w:pPr>
        <w:pStyle w:val="0"/>
        <w:ind w:firstLine="540"/>
        <w:jc w:val="both"/>
      </w:pPr>
      <w:r>
        <w:rPr>
          <w:sz w:val="20"/>
        </w:rPr>
        <w:t xml:space="preserve">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контролю (надзору), разделяется на группы тяжести "А", "Б", "В" и "Г" (далее - группы тяжести).</w:t>
      </w:r>
    </w:p>
    <w:p>
      <w:pPr>
        <w:pStyle w:val="0"/>
        <w:spacing w:before="200" w:line-rule="auto"/>
        <w:ind w:firstLine="540"/>
        <w:jc w:val="both"/>
      </w:pPr>
      <w:r>
        <w:rPr>
          <w:sz w:val="20"/>
        </w:rPr>
        <w:t xml:space="preserve">2. К группе тяжести "А" относятся следующие виды деятельности:</w:t>
      </w:r>
    </w:p>
    <w:p>
      <w:pPr>
        <w:pStyle w:val="0"/>
        <w:spacing w:before="200" w:line-rule="auto"/>
        <w:ind w:firstLine="540"/>
        <w:jc w:val="both"/>
      </w:pPr>
      <w:r>
        <w:rPr>
          <w:sz w:val="20"/>
        </w:rPr>
        <w:t xml:space="preserve">а) обработка специальной категории персональных данных и (или) биометрических персональных данных;</w:t>
      </w:r>
    </w:p>
    <w:p>
      <w:pPr>
        <w:pStyle w:val="0"/>
        <w:spacing w:before="200" w:line-rule="auto"/>
        <w:ind w:firstLine="540"/>
        <w:jc w:val="both"/>
      </w:pPr>
      <w:r>
        <w:rPr>
          <w:sz w:val="20"/>
        </w:rPr>
        <w:t xml:space="preserve">б) сбор персональных данных, в том числе в информационно-телекоммуникационной сети "Интернет" (далее - сеть "Интернет"), осуществляемый с использованием баз данных, находящихся за пределами Российской Федерации;</w:t>
      </w:r>
    </w:p>
    <w:p>
      <w:pPr>
        <w:pStyle w:val="0"/>
        <w:spacing w:before="200" w:line-rule="auto"/>
        <w:ind w:firstLine="540"/>
        <w:jc w:val="both"/>
      </w:pPr>
      <w:r>
        <w:rPr>
          <w:sz w:val="20"/>
        </w:rPr>
        <w:t xml:space="preserve">в) трансграничная передача персональных данных на территорию иностранных государств, не являющихся сторонами </w:t>
      </w:r>
      <w:hyperlink w:history="0" r:id="rId3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перечень иностранных государств, не являющихся сторонами </w:t>
      </w:r>
      <w:hyperlink w:history="0" r:id="rId3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утверждаемый Федеральной службой по надзору в сфере связи, информационных технологий и массовых коммуникаций в соответствии с </w:t>
      </w:r>
      <w:hyperlink w:history="0" r:id="rId37" w:tooltip="Федеральный закон от 27.07.2006 N 152-ФЗ (ред. от 06.02.2023) &quot;О персональных данных&quot; {КонсультантПлюс}">
        <w:r>
          <w:rPr>
            <w:sz w:val="20"/>
            <w:color w:val="0000ff"/>
          </w:rPr>
          <w:t xml:space="preserve">частью 2 статьи 12</w:t>
        </w:r>
      </w:hyperlink>
      <w:r>
        <w:rPr>
          <w:sz w:val="20"/>
        </w:rPr>
        <w:t xml:space="preserve"> Федерального закона "О персональных данных";</w:t>
      </w:r>
    </w:p>
    <w:p>
      <w:pPr>
        <w:pStyle w:val="0"/>
        <w:spacing w:before="200" w:line-rule="auto"/>
        <w:ind w:firstLine="540"/>
        <w:jc w:val="both"/>
      </w:pPr>
      <w:r>
        <w:rPr>
          <w:sz w:val="20"/>
        </w:rPr>
        <w:t xml:space="preserve">г) передача третьим лицам персональных данных, полученных в результате обезличивания с использованием методов обезличивания, утвержденных в соответствии с законодательством Российской Федерации в области персональных данных.</w:t>
      </w:r>
    </w:p>
    <w:p>
      <w:pPr>
        <w:pStyle w:val="0"/>
        <w:spacing w:before="200" w:line-rule="auto"/>
        <w:ind w:firstLine="540"/>
        <w:jc w:val="both"/>
      </w:pPr>
      <w:r>
        <w:rPr>
          <w:sz w:val="20"/>
        </w:rPr>
        <w:t xml:space="preserve">3. К группе тяжести "Б" относятся следующие виды деятельности:</w:t>
      </w:r>
    </w:p>
    <w:p>
      <w:pPr>
        <w:pStyle w:val="0"/>
        <w:spacing w:before="200" w:line-rule="auto"/>
        <w:ind w:firstLine="540"/>
        <w:jc w:val="both"/>
      </w:pPr>
      <w:r>
        <w:rPr>
          <w:sz w:val="20"/>
        </w:rPr>
        <w:t xml:space="preserve">а) обработка персональных данных в целях, отличных от заявленных целей обработки персональных данных на этапе их сбора;</w:t>
      </w:r>
    </w:p>
    <w:p>
      <w:pPr>
        <w:pStyle w:val="0"/>
        <w:spacing w:before="200" w:line-rule="auto"/>
        <w:ind w:firstLine="540"/>
        <w:jc w:val="both"/>
      </w:pPr>
      <w:r>
        <w:rPr>
          <w:sz w:val="20"/>
        </w:rPr>
        <w:t xml:space="preserve">б) обработка персональных данных несовершеннолетних лиц в случаях, не предусмотренных федеральными законами;</w:t>
      </w:r>
    </w:p>
    <w:p>
      <w:pPr>
        <w:pStyle w:val="0"/>
        <w:spacing w:before="200" w:line-rule="auto"/>
        <w:ind w:firstLine="540"/>
        <w:jc w:val="both"/>
      </w:pPr>
      <w:r>
        <w:rPr>
          <w:sz w:val="20"/>
        </w:rPr>
        <w:t xml:space="preserve">в) обработка персональных данных в информационных системах персональных данных, содержащих персональные данные более чем 20000 субъектов персональных данных в пределах субъекта Российской Федерации или Российской Федерации в целом;</w:t>
      </w:r>
    </w:p>
    <w:p>
      <w:pPr>
        <w:pStyle w:val="0"/>
        <w:spacing w:before="200" w:line-rule="auto"/>
        <w:ind w:firstLine="540"/>
        <w:jc w:val="both"/>
      </w:pPr>
      <w:r>
        <w:rPr>
          <w:sz w:val="20"/>
        </w:rPr>
        <w:t xml:space="preserve">г) сбор персональных данных, в том числе в сети "Интернет", осуществляемый с использованием иностранных программ и сервисов.</w:t>
      </w:r>
    </w:p>
    <w:p>
      <w:pPr>
        <w:pStyle w:val="0"/>
        <w:spacing w:before="200" w:line-rule="auto"/>
        <w:ind w:firstLine="540"/>
        <w:jc w:val="both"/>
      </w:pPr>
      <w:r>
        <w:rPr>
          <w:sz w:val="20"/>
        </w:rPr>
        <w:t xml:space="preserve">4. К группе тяжести "В" относятся следующие виды деятельности:</w:t>
      </w:r>
    </w:p>
    <w:p>
      <w:pPr>
        <w:pStyle w:val="0"/>
        <w:spacing w:before="200" w:line-rule="auto"/>
        <w:ind w:firstLine="540"/>
        <w:jc w:val="both"/>
      </w:pPr>
      <w:r>
        <w:rPr>
          <w:sz w:val="20"/>
        </w:rPr>
        <w:t xml:space="preserve">а) обработка персональных данных близких родственников субъекта персональных данных;</w:t>
      </w:r>
    </w:p>
    <w:p>
      <w:pPr>
        <w:pStyle w:val="0"/>
        <w:spacing w:before="200" w:line-rule="auto"/>
        <w:ind w:firstLine="540"/>
        <w:jc w:val="both"/>
      </w:pPr>
      <w:r>
        <w:rPr>
          <w:sz w:val="20"/>
        </w:rPr>
        <w:t xml:space="preserve">б) обработка персональных данных в информационных системах персональных данных, содержащих персональные данные от 1000 до 20000 субъектов персональных данных;</w:t>
      </w:r>
    </w:p>
    <w:p>
      <w:pPr>
        <w:pStyle w:val="0"/>
        <w:spacing w:before="200" w:line-rule="auto"/>
        <w:ind w:firstLine="540"/>
        <w:jc w:val="both"/>
      </w:pPr>
      <w:r>
        <w:rPr>
          <w:sz w:val="20"/>
        </w:rPr>
        <w:t xml:space="preserve">в) трансграничная передача персональных данных на территорию иностранных государств, не являющихся сторонами </w:t>
      </w:r>
      <w:hyperlink w:history="0" r:id="rId3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включенных в перечень иностранных государств, не являющихся сторонами </w:t>
      </w:r>
      <w:hyperlink w:history="0" r:id="rId39"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утверждаемый Федеральной службой по надзору в сфере связи, информационных технологий и массовых коммуникаций в соответствии с </w:t>
      </w:r>
      <w:hyperlink w:history="0" r:id="rId40" w:tooltip="Федеральный закон от 27.07.2006 N 152-ФЗ (ред. от 06.02.2023) &quot;О персональных данных&quot; {КонсультантПлюс}">
        <w:r>
          <w:rPr>
            <w:sz w:val="20"/>
            <w:color w:val="0000ff"/>
          </w:rPr>
          <w:t xml:space="preserve">частью 2 статьи 12</w:t>
        </w:r>
      </w:hyperlink>
      <w:r>
        <w:rPr>
          <w:sz w:val="20"/>
        </w:rPr>
        <w:t xml:space="preserve"> Федерального закона "О персональных данных";</w:t>
      </w:r>
    </w:p>
    <w:p>
      <w:pPr>
        <w:pStyle w:val="0"/>
        <w:spacing w:before="200" w:line-rule="auto"/>
        <w:ind w:firstLine="540"/>
        <w:jc w:val="both"/>
      </w:pPr>
      <w:r>
        <w:rPr>
          <w:sz w:val="20"/>
        </w:rPr>
        <w:t xml:space="preserve">г) обезличивание персональных данных, обработка персональных данных, полученных в результате обезличивания, с использованием методов обезличивания, утвержденных в соответствии с законодательством Российской Федерации в области персональных данных, без передачи третьим лицам.</w:t>
      </w:r>
    </w:p>
    <w:p>
      <w:pPr>
        <w:pStyle w:val="0"/>
        <w:spacing w:before="200" w:line-rule="auto"/>
        <w:ind w:firstLine="540"/>
        <w:jc w:val="both"/>
      </w:pPr>
      <w:r>
        <w:rPr>
          <w:sz w:val="20"/>
        </w:rPr>
        <w:t xml:space="preserve">5. К группе тяжести "Г" относятся следующие виды деятельности:</w:t>
      </w:r>
    </w:p>
    <w:p>
      <w:pPr>
        <w:pStyle w:val="0"/>
        <w:spacing w:before="200" w:line-rule="auto"/>
        <w:ind w:firstLine="540"/>
        <w:jc w:val="both"/>
      </w:pPr>
      <w:r>
        <w:rPr>
          <w:sz w:val="20"/>
        </w:rPr>
        <w:t xml:space="preserve">а) обработка персональных данных в информационных системах персональных данных, содержащих персональные данные менее чем 1000 субъектов персональных данных;</w:t>
      </w:r>
    </w:p>
    <w:p>
      <w:pPr>
        <w:pStyle w:val="0"/>
        <w:spacing w:before="200" w:line-rule="auto"/>
        <w:ind w:firstLine="540"/>
        <w:jc w:val="both"/>
      </w:pPr>
      <w:r>
        <w:rPr>
          <w:sz w:val="20"/>
        </w:rPr>
        <w:t xml:space="preserve">б) обработка персональных данных без предоставления в Федеральную службу по надзору в сфере связи, информационных технологий и массовых коммуникаций информации уведомительного характера, предоставление которой предусмотрено Федеральным </w:t>
      </w:r>
      <w:hyperlink w:history="0" r:id="rId4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spacing w:before="200" w:line-rule="auto"/>
        <w:ind w:firstLine="540"/>
        <w:jc w:val="both"/>
      </w:pPr>
      <w:r>
        <w:rPr>
          <w:sz w:val="20"/>
        </w:rPr>
        <w:t xml:space="preserve">в) обработка персональных данных, полученных из общедоступных источников персональных данных;</w:t>
      </w:r>
    </w:p>
    <w:p>
      <w:pPr>
        <w:pStyle w:val="0"/>
        <w:spacing w:before="200" w:line-rule="auto"/>
        <w:ind w:firstLine="540"/>
        <w:jc w:val="both"/>
      </w:pPr>
      <w:r>
        <w:rPr>
          <w:sz w:val="20"/>
        </w:rPr>
        <w:t xml:space="preserve">г) трансграничная передача персональных данных на территорию иностранных государств, являющихся сторонами </w:t>
      </w:r>
      <w:hyperlink w:history="0" r:id="rId4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w:t>
      </w:r>
    </w:p>
    <w:p>
      <w:pPr>
        <w:pStyle w:val="0"/>
        <w:spacing w:before="200" w:line-rule="auto"/>
        <w:ind w:firstLine="540"/>
        <w:jc w:val="both"/>
      </w:pPr>
      <w:r>
        <w:rPr>
          <w:sz w:val="20"/>
        </w:rPr>
        <w:t xml:space="preserve">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pPr>
        <w:pStyle w:val="0"/>
        <w:spacing w:before="200" w:line-rule="auto"/>
        <w:ind w:firstLine="540"/>
        <w:jc w:val="both"/>
      </w:pPr>
      <w:r>
        <w:rPr>
          <w:sz w:val="20"/>
        </w:rPr>
        <w:t xml:space="preserve">7. С учетом оценки вероятности несоблюдения контролируемыми лицами обязательных требований деятельность, подлежащая государственному контролю (надзору), разделяется на группы вероятности "1", "2", "3", "4" (далее - группы вероятности).</w:t>
      </w:r>
    </w:p>
    <w:bookmarkStart w:id="339" w:name="P339"/>
    <w:bookmarkEnd w:id="339"/>
    <w:p>
      <w:pPr>
        <w:pStyle w:val="0"/>
        <w:spacing w:before="200" w:line-rule="auto"/>
        <w:ind w:firstLine="540"/>
        <w:jc w:val="both"/>
      </w:pPr>
      <w:r>
        <w:rPr>
          <w:sz w:val="20"/>
        </w:rPr>
        <w:t xml:space="preserve">8. К группе вероятности "1"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w:history="0" r:id="rId43" w:tooltip="&quot;Кодекс Российской Федерации об административных правонарушениях&quot; от 30.12.2001 N 195-ФЗ (ред. от 06.04.2024) {КонсультантПлюс}">
        <w:r>
          <w:rPr>
            <w:sz w:val="20"/>
            <w:color w:val="0000ff"/>
          </w:rPr>
          <w:t xml:space="preserve">частями 1.1</w:t>
        </w:r>
      </w:hyperlink>
      <w:r>
        <w:rPr>
          <w:sz w:val="20"/>
        </w:rPr>
        <w:t xml:space="preserve">, </w:t>
      </w:r>
      <w:hyperlink w:history="0" r:id="rId44" w:tooltip="&quot;Кодекс Российской Федерации об административных правонарушениях&quot; от 30.12.2001 N 195-ФЗ (ред. от 06.04.2024) {КонсультантПлюс}">
        <w:r>
          <w:rPr>
            <w:sz w:val="20"/>
            <w:color w:val="0000ff"/>
          </w:rPr>
          <w:t xml:space="preserve">2.1</w:t>
        </w:r>
      </w:hyperlink>
      <w:r>
        <w:rPr>
          <w:sz w:val="20"/>
        </w:rPr>
        <w:t xml:space="preserve">, </w:t>
      </w:r>
      <w:hyperlink w:history="0" r:id="rId45" w:tooltip="&quot;Кодекс Российской Федерации об административных правонарушениях&quot; от 30.12.2001 N 195-ФЗ (ред. от 06.04.2024) {КонсультантПлюс}">
        <w:r>
          <w:rPr>
            <w:sz w:val="20"/>
            <w:color w:val="0000ff"/>
          </w:rPr>
          <w:t xml:space="preserve">5.1</w:t>
        </w:r>
      </w:hyperlink>
      <w:r>
        <w:rPr>
          <w:sz w:val="20"/>
        </w:rPr>
        <w:t xml:space="preserve">, </w:t>
      </w:r>
      <w:hyperlink w:history="0" r:id="rId46" w:tooltip="&quot;Кодекс Российской Федерации об административных правонарушениях&quot; от 30.12.2001 N 195-ФЗ (ред. от 06.04.2024) {КонсультантПлюс}">
        <w:r>
          <w:rPr>
            <w:sz w:val="20"/>
            <w:color w:val="0000ff"/>
          </w:rPr>
          <w:t xml:space="preserve">9 статьи 13.11</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по фактам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pPr>
        <w:pStyle w:val="0"/>
        <w:spacing w:before="200" w:line-rule="auto"/>
        <w:ind w:firstLine="540"/>
        <w:jc w:val="both"/>
      </w:pPr>
      <w:r>
        <w:rPr>
          <w:sz w:val="20"/>
        </w:rPr>
        <w:t xml:space="preserve">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pPr>
        <w:pStyle w:val="0"/>
        <w:spacing w:before="200" w:line-rule="auto"/>
        <w:ind w:firstLine="540"/>
        <w:jc w:val="both"/>
      </w:pPr>
      <w:r>
        <w:rPr>
          <w:sz w:val="20"/>
        </w:rPr>
        <w:t xml:space="preserve">9. К группе вероятности "2"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w:history="0" r:id="rId47" w:tooltip="&quot;Кодекс Российской Федерации об административных правонарушениях&quot; от 30.12.2001 N 195-ФЗ (ред. от 06.04.2024) {КонсультантПлюс}">
        <w:r>
          <w:rPr>
            <w:sz w:val="20"/>
            <w:color w:val="0000ff"/>
          </w:rPr>
          <w:t xml:space="preserve">частями 1</w:t>
        </w:r>
      </w:hyperlink>
      <w:r>
        <w:rPr>
          <w:sz w:val="20"/>
        </w:rPr>
        <w:t xml:space="preserve">, </w:t>
      </w:r>
      <w:hyperlink w:history="0" r:id="rId48" w:tooltip="&quot;Кодекс Российской Федерации об административных правонарушениях&quot; от 30.12.2001 N 195-ФЗ (ред. от 06.04.2024) {КонсультантПлюс}">
        <w:r>
          <w:rPr>
            <w:sz w:val="20"/>
            <w:color w:val="0000ff"/>
          </w:rPr>
          <w:t xml:space="preserve">2</w:t>
        </w:r>
      </w:hyperlink>
      <w:r>
        <w:rPr>
          <w:sz w:val="20"/>
        </w:rPr>
        <w:t xml:space="preserve">, </w:t>
      </w:r>
      <w:hyperlink w:history="0" r:id="rId49" w:tooltip="&quot;Кодекс Российской Федерации об административных правонарушениях&quot; от 30.12.2001 N 195-ФЗ (ред. от 06.04.2024) {КонсультантПлюс}">
        <w:r>
          <w:rPr>
            <w:sz w:val="20"/>
            <w:color w:val="0000ff"/>
          </w:rPr>
          <w:t xml:space="preserve">5</w:t>
        </w:r>
      </w:hyperlink>
      <w:r>
        <w:rPr>
          <w:sz w:val="20"/>
        </w:rPr>
        <w:t xml:space="preserve">, </w:t>
      </w:r>
      <w:hyperlink w:history="0" r:id="rId50" w:tooltip="&quot;Кодекс Российской Федерации об административных правонарушениях&quot; от 30.12.2001 N 195-ФЗ (ред. от 06.04.2024) {КонсультантПлюс}">
        <w:r>
          <w:rPr>
            <w:sz w:val="20"/>
            <w:color w:val="0000ff"/>
          </w:rPr>
          <w:t xml:space="preserve">6</w:t>
        </w:r>
      </w:hyperlink>
      <w:r>
        <w:rPr>
          <w:sz w:val="20"/>
        </w:rPr>
        <w:t xml:space="preserve">, </w:t>
      </w:r>
      <w:hyperlink w:history="0" r:id="rId51" w:tooltip="&quot;Кодекс Российской Федерации об административных правонарушениях&quot; от 30.12.2001 N 195-ФЗ (ред. от 06.04.2024) {КонсультантПлюс}">
        <w:r>
          <w:rPr>
            <w:sz w:val="20"/>
            <w:color w:val="0000ff"/>
          </w:rPr>
          <w:t xml:space="preserve">8 статьи 13.11</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по фактам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pPr>
        <w:pStyle w:val="0"/>
        <w:spacing w:before="200" w:line-rule="auto"/>
        <w:ind w:firstLine="540"/>
        <w:jc w:val="both"/>
      </w:pPr>
      <w:r>
        <w:rPr>
          <w:sz w:val="20"/>
        </w:rPr>
        <w:t xml:space="preserve">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bookmarkStart w:id="345" w:name="P345"/>
    <w:bookmarkEnd w:id="345"/>
    <w:p>
      <w:pPr>
        <w:pStyle w:val="0"/>
        <w:spacing w:before="200" w:line-rule="auto"/>
        <w:ind w:firstLine="540"/>
        <w:jc w:val="both"/>
      </w:pPr>
      <w:r>
        <w:rPr>
          <w:sz w:val="20"/>
        </w:rPr>
        <w:t xml:space="preserve">10. К группе вероятности "3"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w:history="0" r:id="rId52" w:tooltip="&quot;Кодекс Российской Федерации об административных правонарушениях&quot; от 30.12.2001 N 195-ФЗ (ред. от 06.04.2024) {КонсультантПлюс}">
        <w:r>
          <w:rPr>
            <w:sz w:val="20"/>
            <w:color w:val="0000ff"/>
          </w:rPr>
          <w:t xml:space="preserve">частями 4</w:t>
        </w:r>
      </w:hyperlink>
      <w:r>
        <w:rPr>
          <w:sz w:val="20"/>
        </w:rPr>
        <w:t xml:space="preserve">, </w:t>
      </w:r>
      <w:hyperlink w:history="0" r:id="rId53" w:tooltip="&quot;Кодекс Российской Федерации об административных правонарушениях&quot; от 30.12.2001 N 195-ФЗ (ред. от 06.04.2024) {КонсультантПлюс}">
        <w:r>
          <w:rPr>
            <w:sz w:val="20"/>
            <w:color w:val="0000ff"/>
          </w:rPr>
          <w:t xml:space="preserve">7 статьи 13.11</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по фактам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pPr>
        <w:pStyle w:val="0"/>
        <w:spacing w:before="200" w:line-rule="auto"/>
        <w:ind w:firstLine="540"/>
        <w:jc w:val="both"/>
      </w:pPr>
      <w:r>
        <w:rPr>
          <w:sz w:val="20"/>
        </w:rPr>
        <w:t xml:space="preserve">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pPr>
        <w:pStyle w:val="0"/>
        <w:spacing w:before="200" w:line-rule="auto"/>
        <w:ind w:firstLine="540"/>
        <w:jc w:val="both"/>
      </w:pPr>
      <w:r>
        <w:rPr>
          <w:sz w:val="20"/>
        </w:rPr>
        <w:t xml:space="preserve">11. К группе вероятности "4" относится деятельность контролируемых лиц при отсутствии обстоятельств, указанных в </w:t>
      </w:r>
      <w:hyperlink w:history="0" w:anchor="P339" w:tooltip="8. К группе вероятности &quot;1&quot;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частями 1.1, 2.1, 5.1, 9 статьи 13.11 Кодекса Российской Федерации об административных правонарушениях:">
        <w:r>
          <w:rPr>
            <w:sz w:val="20"/>
            <w:color w:val="0000ff"/>
          </w:rPr>
          <w:t xml:space="preserve">пунктах 8</w:t>
        </w:r>
      </w:hyperlink>
      <w:r>
        <w:rPr>
          <w:sz w:val="20"/>
        </w:rPr>
        <w:t xml:space="preserve"> - </w:t>
      </w:r>
      <w:hyperlink w:history="0" w:anchor="P345" w:tooltip="10. К группе вероятности &quot;3&quot;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частями 4, 7 статьи 13.11 Кодекса Российской Федерации об административных правонарушениях:">
        <w:r>
          <w:rPr>
            <w:sz w:val="20"/>
            <w:color w:val="0000ff"/>
          </w:rPr>
          <w:t xml:space="preserve">10</w:t>
        </w:r>
      </w:hyperlink>
      <w:r>
        <w:rPr>
          <w:sz w:val="20"/>
        </w:rPr>
        <w:t xml:space="preserve"> настоящего приложения.</w:t>
      </w:r>
    </w:p>
    <w:p>
      <w:pPr>
        <w:pStyle w:val="0"/>
        <w:spacing w:before="200" w:line-rule="auto"/>
        <w:ind w:firstLine="540"/>
        <w:jc w:val="both"/>
      </w:pPr>
      <w:r>
        <w:rPr>
          <w:sz w:val="20"/>
        </w:rPr>
        <w:t xml:space="preserve">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pPr>
        <w:pStyle w:val="0"/>
        <w:spacing w:before="200" w:line-rule="auto"/>
        <w:ind w:firstLine="540"/>
        <w:jc w:val="both"/>
      </w:pPr>
      <w:r>
        <w:rPr>
          <w:sz w:val="20"/>
        </w:rPr>
        <w:t xml:space="preserve">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422"/>
        <w:gridCol w:w="2324"/>
        <w:gridCol w:w="2325"/>
      </w:tblGrid>
      <w:tr>
        <w:tblPrEx>
          <w:tblBorders>
            <w:insideH w:val="single" w:sz="4"/>
          </w:tblBorders>
        </w:tblPrEx>
        <w:tc>
          <w:tcPr>
            <w:tcW w:w="4422" w:type="dxa"/>
            <w:tcBorders>
              <w:top w:val="single" w:sz="4"/>
              <w:left w:val="nil"/>
              <w:bottom w:val="single" w:sz="4"/>
              <w:right w:val="nil"/>
            </w:tcBorders>
          </w:tcPr>
          <w:p>
            <w:pPr>
              <w:pStyle w:val="0"/>
              <w:jc w:val="center"/>
            </w:pPr>
            <w:r>
              <w:rPr>
                <w:sz w:val="20"/>
              </w:rPr>
              <w:t xml:space="preserve">Категория риска</w:t>
            </w:r>
          </w:p>
        </w:tc>
        <w:tc>
          <w:tcPr>
            <w:tcW w:w="2324" w:type="dxa"/>
            <w:tcBorders>
              <w:top w:val="single" w:sz="4"/>
              <w:left w:val="nil"/>
              <w:bottom w:val="single" w:sz="4"/>
              <w:right w:val="nil"/>
            </w:tcBorders>
          </w:tcPr>
          <w:p>
            <w:pPr>
              <w:pStyle w:val="0"/>
              <w:jc w:val="center"/>
            </w:pPr>
            <w:r>
              <w:rPr>
                <w:sz w:val="20"/>
              </w:rPr>
              <w:t xml:space="preserve">Группа тяжести</w:t>
            </w:r>
          </w:p>
        </w:tc>
        <w:tc>
          <w:tcPr>
            <w:tcW w:w="2325" w:type="dxa"/>
            <w:tcBorders>
              <w:top w:val="single" w:sz="4"/>
              <w:left w:val="nil"/>
              <w:bottom w:val="single" w:sz="4"/>
              <w:right w:val="nil"/>
            </w:tcBorders>
          </w:tcPr>
          <w:p>
            <w:pPr>
              <w:pStyle w:val="0"/>
              <w:jc w:val="center"/>
            </w:pPr>
            <w:r>
              <w:rPr>
                <w:sz w:val="20"/>
              </w:rPr>
              <w:t xml:space="preserve">Группа вероятности</w:t>
            </w:r>
          </w:p>
        </w:tc>
      </w:tr>
      <w:tr>
        <w:tc>
          <w:tcPr>
            <w:tcW w:w="4422" w:type="dxa"/>
            <w:tcBorders>
              <w:top w:val="single" w:sz="4"/>
              <w:left w:val="nil"/>
              <w:bottom w:val="nil"/>
              <w:right w:val="nil"/>
            </w:tcBorders>
          </w:tcPr>
          <w:p>
            <w:pPr>
              <w:pStyle w:val="0"/>
            </w:pPr>
            <w:r>
              <w:rPr>
                <w:sz w:val="20"/>
              </w:rPr>
              <w:t xml:space="preserve">Высокий риск</w:t>
            </w:r>
          </w:p>
        </w:tc>
        <w:tc>
          <w:tcPr>
            <w:tcW w:w="2324" w:type="dxa"/>
            <w:tcBorders>
              <w:top w:val="single" w:sz="4"/>
              <w:left w:val="nil"/>
              <w:bottom w:val="nil"/>
              <w:right w:val="nil"/>
            </w:tcBorders>
          </w:tcPr>
          <w:p>
            <w:pPr>
              <w:pStyle w:val="0"/>
              <w:jc w:val="center"/>
            </w:pPr>
            <w:r>
              <w:rPr>
                <w:sz w:val="20"/>
              </w:rPr>
              <w:t xml:space="preserve">А</w:t>
            </w:r>
          </w:p>
        </w:tc>
        <w:tc>
          <w:tcPr>
            <w:tcW w:w="2325" w:type="dxa"/>
            <w:tcBorders>
              <w:top w:val="single" w:sz="4"/>
              <w:left w:val="nil"/>
              <w:bottom w:val="nil"/>
              <w:right w:val="nil"/>
            </w:tcBorders>
          </w:tcPr>
          <w:p>
            <w:pPr>
              <w:pStyle w:val="0"/>
              <w:jc w:val="center"/>
            </w:pPr>
            <w:r>
              <w:rPr>
                <w:sz w:val="20"/>
              </w:rPr>
              <w:t xml:space="preserve">1</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Б</w:t>
            </w:r>
          </w:p>
        </w:tc>
        <w:tc>
          <w:tcPr>
            <w:tcW w:w="2325" w:type="dxa"/>
            <w:tcBorders>
              <w:top w:val="nil"/>
              <w:left w:val="nil"/>
              <w:bottom w:val="nil"/>
              <w:right w:val="nil"/>
            </w:tcBorders>
          </w:tcPr>
          <w:p>
            <w:pPr>
              <w:pStyle w:val="0"/>
              <w:jc w:val="center"/>
            </w:pPr>
            <w:r>
              <w:rPr>
                <w:sz w:val="20"/>
              </w:rPr>
              <w:t xml:space="preserve">1</w:t>
            </w:r>
          </w:p>
        </w:tc>
      </w:tr>
      <w:tr>
        <w:tc>
          <w:tcPr>
            <w:tcW w:w="4422" w:type="dxa"/>
            <w:tcBorders>
              <w:top w:val="nil"/>
              <w:left w:val="nil"/>
              <w:bottom w:val="nil"/>
              <w:right w:val="nil"/>
            </w:tcBorders>
          </w:tcPr>
          <w:p>
            <w:pPr>
              <w:pStyle w:val="0"/>
            </w:pPr>
            <w:r>
              <w:rPr>
                <w:sz w:val="20"/>
              </w:rPr>
              <w:t xml:space="preserve">Значительный риск</w:t>
            </w:r>
          </w:p>
        </w:tc>
        <w:tc>
          <w:tcPr>
            <w:tcW w:w="2324" w:type="dxa"/>
            <w:tcBorders>
              <w:top w:val="nil"/>
              <w:left w:val="nil"/>
              <w:bottom w:val="nil"/>
              <w:right w:val="nil"/>
            </w:tcBorders>
          </w:tcPr>
          <w:p>
            <w:pPr>
              <w:pStyle w:val="0"/>
              <w:jc w:val="center"/>
            </w:pPr>
            <w:r>
              <w:rPr>
                <w:sz w:val="20"/>
              </w:rPr>
              <w:t xml:space="preserve">А</w:t>
            </w:r>
          </w:p>
        </w:tc>
        <w:tc>
          <w:tcPr>
            <w:tcW w:w="2325" w:type="dxa"/>
            <w:tcBorders>
              <w:top w:val="nil"/>
              <w:left w:val="nil"/>
              <w:bottom w:val="nil"/>
              <w:right w:val="nil"/>
            </w:tcBorders>
          </w:tcPr>
          <w:p>
            <w:pPr>
              <w:pStyle w:val="0"/>
              <w:jc w:val="center"/>
            </w:pPr>
            <w:r>
              <w:rPr>
                <w:sz w:val="20"/>
              </w:rPr>
              <w:t xml:space="preserve">2</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А</w:t>
            </w:r>
          </w:p>
        </w:tc>
        <w:tc>
          <w:tcPr>
            <w:tcW w:w="2325" w:type="dxa"/>
            <w:tcBorders>
              <w:top w:val="nil"/>
              <w:left w:val="nil"/>
              <w:bottom w:val="nil"/>
              <w:right w:val="nil"/>
            </w:tcBorders>
          </w:tcPr>
          <w:p>
            <w:pPr>
              <w:pStyle w:val="0"/>
              <w:jc w:val="center"/>
            </w:pPr>
            <w:r>
              <w:rPr>
                <w:sz w:val="20"/>
              </w:rPr>
              <w:t xml:space="preserve">3</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Б</w:t>
            </w:r>
          </w:p>
        </w:tc>
        <w:tc>
          <w:tcPr>
            <w:tcW w:w="2325" w:type="dxa"/>
            <w:tcBorders>
              <w:top w:val="nil"/>
              <w:left w:val="nil"/>
              <w:bottom w:val="nil"/>
              <w:right w:val="nil"/>
            </w:tcBorders>
          </w:tcPr>
          <w:p>
            <w:pPr>
              <w:pStyle w:val="0"/>
              <w:jc w:val="center"/>
            </w:pPr>
            <w:r>
              <w:rPr>
                <w:sz w:val="20"/>
              </w:rPr>
              <w:t xml:space="preserve">2</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В</w:t>
            </w:r>
          </w:p>
        </w:tc>
        <w:tc>
          <w:tcPr>
            <w:tcW w:w="2325" w:type="dxa"/>
            <w:tcBorders>
              <w:top w:val="nil"/>
              <w:left w:val="nil"/>
              <w:bottom w:val="nil"/>
              <w:right w:val="nil"/>
            </w:tcBorders>
          </w:tcPr>
          <w:p>
            <w:pPr>
              <w:pStyle w:val="0"/>
              <w:jc w:val="center"/>
            </w:pPr>
            <w:r>
              <w:rPr>
                <w:sz w:val="20"/>
              </w:rPr>
              <w:t xml:space="preserve">1</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В</w:t>
            </w:r>
          </w:p>
        </w:tc>
        <w:tc>
          <w:tcPr>
            <w:tcW w:w="2325" w:type="dxa"/>
            <w:tcBorders>
              <w:top w:val="nil"/>
              <w:left w:val="nil"/>
              <w:bottom w:val="nil"/>
              <w:right w:val="nil"/>
            </w:tcBorders>
          </w:tcPr>
          <w:p>
            <w:pPr>
              <w:pStyle w:val="0"/>
              <w:jc w:val="center"/>
            </w:pPr>
            <w:r>
              <w:rPr>
                <w:sz w:val="20"/>
              </w:rPr>
              <w:t xml:space="preserve">2</w:t>
            </w:r>
          </w:p>
        </w:tc>
      </w:tr>
      <w:tr>
        <w:tc>
          <w:tcPr>
            <w:tcW w:w="4422" w:type="dxa"/>
            <w:tcBorders>
              <w:top w:val="nil"/>
              <w:left w:val="nil"/>
              <w:bottom w:val="nil"/>
              <w:right w:val="nil"/>
            </w:tcBorders>
          </w:tcPr>
          <w:p>
            <w:pPr>
              <w:pStyle w:val="0"/>
            </w:pPr>
            <w:r>
              <w:rPr>
                <w:sz w:val="20"/>
              </w:rPr>
              <w:t xml:space="preserve">Средний риск</w:t>
            </w:r>
          </w:p>
        </w:tc>
        <w:tc>
          <w:tcPr>
            <w:tcW w:w="2324" w:type="dxa"/>
            <w:tcBorders>
              <w:top w:val="nil"/>
              <w:left w:val="nil"/>
              <w:bottom w:val="nil"/>
              <w:right w:val="nil"/>
            </w:tcBorders>
          </w:tcPr>
          <w:p>
            <w:pPr>
              <w:pStyle w:val="0"/>
              <w:jc w:val="center"/>
            </w:pPr>
            <w:r>
              <w:rPr>
                <w:sz w:val="20"/>
              </w:rPr>
              <w:t xml:space="preserve">А</w:t>
            </w:r>
          </w:p>
        </w:tc>
        <w:tc>
          <w:tcPr>
            <w:tcW w:w="2325" w:type="dxa"/>
            <w:tcBorders>
              <w:top w:val="nil"/>
              <w:left w:val="nil"/>
              <w:bottom w:val="nil"/>
              <w:right w:val="nil"/>
            </w:tcBorders>
          </w:tcPr>
          <w:p>
            <w:pPr>
              <w:pStyle w:val="0"/>
              <w:jc w:val="center"/>
            </w:pPr>
            <w:r>
              <w:rPr>
                <w:sz w:val="20"/>
              </w:rPr>
              <w:t xml:space="preserve">4</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Б</w:t>
            </w:r>
          </w:p>
        </w:tc>
        <w:tc>
          <w:tcPr>
            <w:tcW w:w="2325" w:type="dxa"/>
            <w:tcBorders>
              <w:top w:val="nil"/>
              <w:left w:val="nil"/>
              <w:bottom w:val="nil"/>
              <w:right w:val="nil"/>
            </w:tcBorders>
          </w:tcPr>
          <w:p>
            <w:pPr>
              <w:pStyle w:val="0"/>
              <w:jc w:val="center"/>
            </w:pPr>
            <w:r>
              <w:rPr>
                <w:sz w:val="20"/>
              </w:rPr>
              <w:t xml:space="preserve">3</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В</w:t>
            </w:r>
          </w:p>
        </w:tc>
        <w:tc>
          <w:tcPr>
            <w:tcW w:w="2325" w:type="dxa"/>
            <w:tcBorders>
              <w:top w:val="nil"/>
              <w:left w:val="nil"/>
              <w:bottom w:val="nil"/>
              <w:right w:val="nil"/>
            </w:tcBorders>
          </w:tcPr>
          <w:p>
            <w:pPr>
              <w:pStyle w:val="0"/>
              <w:jc w:val="center"/>
            </w:pPr>
            <w:r>
              <w:rPr>
                <w:sz w:val="20"/>
              </w:rPr>
              <w:t xml:space="preserve">3</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Г</w:t>
            </w:r>
          </w:p>
        </w:tc>
        <w:tc>
          <w:tcPr>
            <w:tcW w:w="2325" w:type="dxa"/>
            <w:tcBorders>
              <w:top w:val="nil"/>
              <w:left w:val="nil"/>
              <w:bottom w:val="nil"/>
              <w:right w:val="nil"/>
            </w:tcBorders>
          </w:tcPr>
          <w:p>
            <w:pPr>
              <w:pStyle w:val="0"/>
              <w:jc w:val="center"/>
            </w:pPr>
            <w:r>
              <w:rPr>
                <w:sz w:val="20"/>
              </w:rPr>
              <w:t xml:space="preserve">1</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Г</w:t>
            </w:r>
          </w:p>
        </w:tc>
        <w:tc>
          <w:tcPr>
            <w:tcW w:w="2325" w:type="dxa"/>
            <w:tcBorders>
              <w:top w:val="nil"/>
              <w:left w:val="nil"/>
              <w:bottom w:val="nil"/>
              <w:right w:val="nil"/>
            </w:tcBorders>
          </w:tcPr>
          <w:p>
            <w:pPr>
              <w:pStyle w:val="0"/>
              <w:jc w:val="center"/>
            </w:pPr>
            <w:r>
              <w:rPr>
                <w:sz w:val="20"/>
              </w:rPr>
              <w:t xml:space="preserve">2</w:t>
            </w:r>
          </w:p>
        </w:tc>
      </w:tr>
      <w:tr>
        <w:tc>
          <w:tcPr>
            <w:tcW w:w="4422" w:type="dxa"/>
            <w:tcBorders>
              <w:top w:val="nil"/>
              <w:left w:val="nil"/>
              <w:bottom w:val="nil"/>
              <w:right w:val="nil"/>
            </w:tcBorders>
          </w:tcPr>
          <w:p>
            <w:pPr>
              <w:pStyle w:val="0"/>
            </w:pPr>
            <w:r>
              <w:rPr>
                <w:sz w:val="20"/>
              </w:rPr>
              <w:t xml:space="preserve">Умеренный риск</w:t>
            </w:r>
          </w:p>
        </w:tc>
        <w:tc>
          <w:tcPr>
            <w:tcW w:w="2324" w:type="dxa"/>
            <w:tcBorders>
              <w:top w:val="nil"/>
              <w:left w:val="nil"/>
              <w:bottom w:val="nil"/>
              <w:right w:val="nil"/>
            </w:tcBorders>
          </w:tcPr>
          <w:p>
            <w:pPr>
              <w:pStyle w:val="0"/>
              <w:jc w:val="center"/>
            </w:pPr>
            <w:r>
              <w:rPr>
                <w:sz w:val="20"/>
              </w:rPr>
              <w:t xml:space="preserve">Б</w:t>
            </w:r>
          </w:p>
        </w:tc>
        <w:tc>
          <w:tcPr>
            <w:tcW w:w="2325" w:type="dxa"/>
            <w:tcBorders>
              <w:top w:val="nil"/>
              <w:left w:val="nil"/>
              <w:bottom w:val="nil"/>
              <w:right w:val="nil"/>
            </w:tcBorders>
          </w:tcPr>
          <w:p>
            <w:pPr>
              <w:pStyle w:val="0"/>
              <w:jc w:val="center"/>
            </w:pPr>
            <w:r>
              <w:rPr>
                <w:sz w:val="20"/>
              </w:rPr>
              <w:t xml:space="preserve">4</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В</w:t>
            </w:r>
          </w:p>
        </w:tc>
        <w:tc>
          <w:tcPr>
            <w:tcW w:w="2325" w:type="dxa"/>
            <w:tcBorders>
              <w:top w:val="nil"/>
              <w:left w:val="nil"/>
              <w:bottom w:val="nil"/>
              <w:right w:val="nil"/>
            </w:tcBorders>
          </w:tcPr>
          <w:p>
            <w:pPr>
              <w:pStyle w:val="0"/>
              <w:jc w:val="center"/>
            </w:pPr>
            <w:r>
              <w:rPr>
                <w:sz w:val="20"/>
              </w:rPr>
              <w:t xml:space="preserve">4</w:t>
            </w:r>
          </w:p>
        </w:tc>
      </w:tr>
      <w:tr>
        <w:tc>
          <w:tcPr>
            <w:tcW w:w="442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Г</w:t>
            </w:r>
          </w:p>
        </w:tc>
        <w:tc>
          <w:tcPr>
            <w:tcW w:w="2325" w:type="dxa"/>
            <w:tcBorders>
              <w:top w:val="nil"/>
              <w:left w:val="nil"/>
              <w:bottom w:val="nil"/>
              <w:right w:val="nil"/>
            </w:tcBorders>
          </w:tcPr>
          <w:p>
            <w:pPr>
              <w:pStyle w:val="0"/>
              <w:jc w:val="center"/>
            </w:pPr>
            <w:r>
              <w:rPr>
                <w:sz w:val="20"/>
              </w:rPr>
              <w:t xml:space="preserve">3</w:t>
            </w:r>
          </w:p>
        </w:tc>
      </w:tr>
      <w:tr>
        <w:tc>
          <w:tcPr>
            <w:tcW w:w="4422" w:type="dxa"/>
            <w:tcBorders>
              <w:top w:val="nil"/>
              <w:left w:val="nil"/>
              <w:bottom w:val="single" w:sz="4"/>
              <w:right w:val="nil"/>
            </w:tcBorders>
          </w:tcPr>
          <w:p>
            <w:pPr>
              <w:pStyle w:val="0"/>
            </w:pPr>
            <w:r>
              <w:rPr>
                <w:sz w:val="20"/>
              </w:rPr>
              <w:t xml:space="preserve">Низкий риск</w:t>
            </w:r>
          </w:p>
        </w:tc>
        <w:tc>
          <w:tcPr>
            <w:tcW w:w="2324" w:type="dxa"/>
            <w:tcBorders>
              <w:top w:val="nil"/>
              <w:left w:val="nil"/>
              <w:bottom w:val="single" w:sz="4"/>
              <w:right w:val="nil"/>
            </w:tcBorders>
          </w:tcPr>
          <w:p>
            <w:pPr>
              <w:pStyle w:val="0"/>
              <w:jc w:val="center"/>
            </w:pPr>
            <w:r>
              <w:rPr>
                <w:sz w:val="20"/>
              </w:rPr>
              <w:t xml:space="preserve">Г</w:t>
            </w:r>
          </w:p>
        </w:tc>
        <w:tc>
          <w:tcPr>
            <w:tcW w:w="2325" w:type="dxa"/>
            <w:tcBorders>
              <w:top w:val="nil"/>
              <w:left w:val="nil"/>
              <w:bottom w:val="single" w:sz="4"/>
              <w:right w:val="nil"/>
            </w:tcBorders>
          </w:tcPr>
          <w:p>
            <w:pPr>
              <w:pStyle w:val="0"/>
              <w:jc w:val="center"/>
            </w:pPr>
            <w:r>
              <w:rPr>
                <w:sz w:val="20"/>
              </w:rPr>
              <w:t xml:space="preserve">4</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29.06.2021 N 1046</w:t>
            <w:br/>
            <w:t>(ред. от 16.12.2021)</w:t>
            <w:br/>
            <w:t>"О федеральном государственном контроле (надзор...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3712&amp;dst=100005" TargetMode = "External"/>
	<Relationship Id="rId8" Type="http://schemas.openxmlformats.org/officeDocument/2006/relationships/hyperlink" Target="https://login.consultant.ru/link/?req=doc&amp;base=LAW&amp;n=318256" TargetMode = "External"/>
	<Relationship Id="rId9" Type="http://schemas.openxmlformats.org/officeDocument/2006/relationships/hyperlink" Target="https://login.consultant.ru/link/?req=doc&amp;base=LAW&amp;n=403712&amp;dst=100005" TargetMode = "External"/>
	<Relationship Id="rId10" Type="http://schemas.openxmlformats.org/officeDocument/2006/relationships/hyperlink" Target="https://login.consultant.ru/link/?req=doc&amp;base=LAW&amp;n=439201&amp;dst=61" TargetMode = "External"/>
	<Relationship Id="rId11" Type="http://schemas.openxmlformats.org/officeDocument/2006/relationships/hyperlink" Target="https://login.consultant.ru/link/?req=doc&amp;base=LAW&amp;n=465728&amp;dst=100329" TargetMode = "External"/>
	<Relationship Id="rId12" Type="http://schemas.openxmlformats.org/officeDocument/2006/relationships/hyperlink" Target="https://login.consultant.ru/link/?req=doc&amp;base=LAW&amp;n=465728" TargetMode = "External"/>
	<Relationship Id="rId13" Type="http://schemas.openxmlformats.org/officeDocument/2006/relationships/hyperlink" Target="https://login.consultant.ru/link/?req=doc&amp;base=LAW&amp;n=439201&amp;dst=100358" TargetMode = "External"/>
	<Relationship Id="rId14" Type="http://schemas.openxmlformats.org/officeDocument/2006/relationships/hyperlink" Target="https://login.consultant.ru/link/?req=doc&amp;base=LAW&amp;n=439201&amp;dst=100358" TargetMode = "External"/>
	<Relationship Id="rId15" Type="http://schemas.openxmlformats.org/officeDocument/2006/relationships/hyperlink" Target="https://login.consultant.ru/link/?req=doc&amp;base=LAW&amp;n=439201&amp;dst=100161" TargetMode = "External"/>
	<Relationship Id="rId16" Type="http://schemas.openxmlformats.org/officeDocument/2006/relationships/hyperlink" Target="https://login.consultant.ru/link/?req=doc&amp;base=LAW&amp;n=465728&amp;dst=100509" TargetMode = "External"/>
	<Relationship Id="rId17" Type="http://schemas.openxmlformats.org/officeDocument/2006/relationships/hyperlink" Target="https://login.consultant.ru/link/?req=doc&amp;base=LAW&amp;n=465728&amp;dst=100547" TargetMode = "External"/>
	<Relationship Id="rId18" Type="http://schemas.openxmlformats.org/officeDocument/2006/relationships/hyperlink" Target="https://login.consultant.ru/link/?req=doc&amp;base=LAW&amp;n=465728&amp;dst=100225" TargetMode = "External"/>
	<Relationship Id="rId19" Type="http://schemas.openxmlformats.org/officeDocument/2006/relationships/hyperlink" Target="https://login.consultant.ru/link/?req=doc&amp;base=LAW&amp;n=465728&amp;dst=100572" TargetMode = "External"/>
	<Relationship Id="rId20" Type="http://schemas.openxmlformats.org/officeDocument/2006/relationships/hyperlink" Target="https://login.consultant.ru/link/?req=doc&amp;base=LAW&amp;n=465728&amp;dst=100578" TargetMode = "External"/>
	<Relationship Id="rId21" Type="http://schemas.openxmlformats.org/officeDocument/2006/relationships/hyperlink" Target="https://login.consultant.ru/link/?req=doc&amp;base=LAW&amp;n=465728&amp;dst=100728" TargetMode = "External"/>
	<Relationship Id="rId22" Type="http://schemas.openxmlformats.org/officeDocument/2006/relationships/hyperlink" Target="https://login.consultant.ru/link/?req=doc&amp;base=LAW&amp;n=465728&amp;dst=100634" TargetMode = "External"/>
	<Relationship Id="rId23" Type="http://schemas.openxmlformats.org/officeDocument/2006/relationships/hyperlink" Target="https://login.consultant.ru/link/?req=doc&amp;base=LAW&amp;n=465728&amp;dst=100636" TargetMode = "External"/>
	<Relationship Id="rId24" Type="http://schemas.openxmlformats.org/officeDocument/2006/relationships/hyperlink" Target="https://login.consultant.ru/link/?req=doc&amp;base=LAW&amp;n=465728&amp;dst=100639" TargetMode = "External"/>
	<Relationship Id="rId25" Type="http://schemas.openxmlformats.org/officeDocument/2006/relationships/hyperlink" Target="https://login.consultant.ru/link/?req=doc&amp;base=LAW&amp;n=465728&amp;dst=101175" TargetMode = "External"/>
	<Relationship Id="rId26" Type="http://schemas.openxmlformats.org/officeDocument/2006/relationships/hyperlink" Target="https://login.consultant.ru/link/?req=doc&amp;base=LAW&amp;n=465728" TargetMode = "External"/>
	<Relationship Id="rId27" Type="http://schemas.openxmlformats.org/officeDocument/2006/relationships/hyperlink" Target="https://login.consultant.ru/link/?req=doc&amp;base=LAW&amp;n=465728&amp;dst=100851" TargetMode = "External"/>
	<Relationship Id="rId28" Type="http://schemas.openxmlformats.org/officeDocument/2006/relationships/hyperlink" Target="https://login.consultant.ru/link/?req=doc&amp;base=LAW&amp;n=465728&amp;dst=100864" TargetMode = "External"/>
	<Relationship Id="rId29" Type="http://schemas.openxmlformats.org/officeDocument/2006/relationships/hyperlink" Target="https://login.consultant.ru/link/?req=doc&amp;base=LAW&amp;n=465728&amp;dst=100225" TargetMode = "External"/>
	<Relationship Id="rId30" Type="http://schemas.openxmlformats.org/officeDocument/2006/relationships/hyperlink" Target="https://login.consultant.ru/link/?req=doc&amp;base=LAW&amp;n=465728&amp;dst=101143" TargetMode = "External"/>
	<Relationship Id="rId31" Type="http://schemas.openxmlformats.org/officeDocument/2006/relationships/hyperlink" Target="https://login.consultant.ru/link/?req=doc&amp;base=LAW&amp;n=465728&amp;dst=100440" TargetMode = "External"/>
	<Relationship Id="rId32" Type="http://schemas.openxmlformats.org/officeDocument/2006/relationships/hyperlink" Target="https://login.consultant.ru/link/?req=doc&amp;base=LAW&amp;n=465728&amp;dst=100441" TargetMode = "External"/>
	<Relationship Id="rId33" Type="http://schemas.openxmlformats.org/officeDocument/2006/relationships/hyperlink" Target="https://login.consultant.ru/link/?req=doc&amp;base=LAW&amp;n=465728&amp;dst=100659" TargetMode = "External"/>
	<Relationship Id="rId34" Type="http://schemas.openxmlformats.org/officeDocument/2006/relationships/hyperlink" Target="https://login.consultant.ru/link/?req=doc&amp;base=LAW&amp;n=403712&amp;dst=100010" TargetMode = "External"/>
	<Relationship Id="rId35" Type="http://schemas.openxmlformats.org/officeDocument/2006/relationships/hyperlink" Target="https://login.consultant.ru/link/?req=doc&amp;base=LAW&amp;n=121499" TargetMode = "External"/>
	<Relationship Id="rId36" Type="http://schemas.openxmlformats.org/officeDocument/2006/relationships/hyperlink" Target="https://login.consultant.ru/link/?req=doc&amp;base=LAW&amp;n=121499" TargetMode = "External"/>
	<Relationship Id="rId37" Type="http://schemas.openxmlformats.org/officeDocument/2006/relationships/hyperlink" Target="https://login.consultant.ru/link/?req=doc&amp;base=LAW&amp;n=439201&amp;dst=100309" TargetMode = "External"/>
	<Relationship Id="rId38" Type="http://schemas.openxmlformats.org/officeDocument/2006/relationships/hyperlink" Target="https://login.consultant.ru/link/?req=doc&amp;base=LAW&amp;n=121499" TargetMode = "External"/>
	<Relationship Id="rId39" Type="http://schemas.openxmlformats.org/officeDocument/2006/relationships/hyperlink" Target="https://login.consultant.ru/link/?req=doc&amp;base=LAW&amp;n=121499" TargetMode = "External"/>
	<Relationship Id="rId40" Type="http://schemas.openxmlformats.org/officeDocument/2006/relationships/hyperlink" Target="https://login.consultant.ru/link/?req=doc&amp;base=LAW&amp;n=439201&amp;dst=100309" TargetMode = "External"/>
	<Relationship Id="rId41" Type="http://schemas.openxmlformats.org/officeDocument/2006/relationships/hyperlink" Target="https://login.consultant.ru/link/?req=doc&amp;base=LAW&amp;n=439201" TargetMode = "External"/>
	<Relationship Id="rId42" Type="http://schemas.openxmlformats.org/officeDocument/2006/relationships/hyperlink" Target="https://login.consultant.ru/link/?req=doc&amp;base=LAW&amp;n=121499" TargetMode = "External"/>
	<Relationship Id="rId43" Type="http://schemas.openxmlformats.org/officeDocument/2006/relationships/hyperlink" Target="https://login.consultant.ru/link/?req=doc&amp;base=LAW&amp;n=474035&amp;dst=9351" TargetMode = "External"/>
	<Relationship Id="rId44" Type="http://schemas.openxmlformats.org/officeDocument/2006/relationships/hyperlink" Target="https://login.consultant.ru/link/?req=doc&amp;base=LAW&amp;n=474035&amp;dst=9354" TargetMode = "External"/>
	<Relationship Id="rId45" Type="http://schemas.openxmlformats.org/officeDocument/2006/relationships/hyperlink" Target="https://login.consultant.ru/link/?req=doc&amp;base=LAW&amp;n=474035&amp;dst=9359" TargetMode = "External"/>
	<Relationship Id="rId46" Type="http://schemas.openxmlformats.org/officeDocument/2006/relationships/hyperlink" Target="https://login.consultant.ru/link/?req=doc&amp;base=LAW&amp;n=474035&amp;dst=8860" TargetMode = "External"/>
	<Relationship Id="rId47" Type="http://schemas.openxmlformats.org/officeDocument/2006/relationships/hyperlink" Target="https://login.consultant.ru/link/?req=doc&amp;base=LAW&amp;n=474035&amp;dst=9514" TargetMode = "External"/>
	<Relationship Id="rId48" Type="http://schemas.openxmlformats.org/officeDocument/2006/relationships/hyperlink" Target="https://login.consultant.ru/link/?req=doc&amp;base=LAW&amp;n=474035&amp;dst=9515" TargetMode = "External"/>
	<Relationship Id="rId49" Type="http://schemas.openxmlformats.org/officeDocument/2006/relationships/hyperlink" Target="https://login.consultant.ru/link/?req=doc&amp;base=LAW&amp;n=474035&amp;dst=7764" TargetMode = "External"/>
	<Relationship Id="rId50" Type="http://schemas.openxmlformats.org/officeDocument/2006/relationships/hyperlink" Target="https://login.consultant.ru/link/?req=doc&amp;base=LAW&amp;n=474035&amp;dst=7766" TargetMode = "External"/>
	<Relationship Id="rId51" Type="http://schemas.openxmlformats.org/officeDocument/2006/relationships/hyperlink" Target="https://login.consultant.ru/link/?req=doc&amp;base=LAW&amp;n=474035&amp;dst=8858" TargetMode = "External"/>
	<Relationship Id="rId52" Type="http://schemas.openxmlformats.org/officeDocument/2006/relationships/hyperlink" Target="https://login.consultant.ru/link/?req=doc&amp;base=LAW&amp;n=474035&amp;dst=7762" TargetMode = "External"/>
	<Relationship Id="rId53" Type="http://schemas.openxmlformats.org/officeDocument/2006/relationships/hyperlink" Target="https://login.consultant.ru/link/?req=doc&amp;base=LAW&amp;n=474035&amp;dst=776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29.06.2021 N 1046
(ред. от 16.12.2021)
"О федеральном государственном контроле (надзоре) за обработкой персональных данных"
(вместе с "Положением о федеральном государственном контроле (надзоре) за обработкой персональных данных")</dc:title>
  <dcterms:created xsi:type="dcterms:W3CDTF">2024-04-27T07:42:35Z</dcterms:created>
</cp:coreProperties>
</file>